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9D9" w:rsidRPr="003C4C89" w:rsidRDefault="00D11D53">
      <w:pPr>
        <w:spacing w:after="0" w:line="277" w:lineRule="auto"/>
        <w:ind w:left="34" w:firstLine="0"/>
        <w:jc w:val="center"/>
        <w:rPr>
          <w:b/>
        </w:rPr>
      </w:pPr>
      <w:r w:rsidRPr="003C4C89">
        <w:rPr>
          <w:rFonts w:ascii="ＭＳ ゴシック" w:eastAsia="ＭＳ ゴシック" w:hAnsi="ＭＳ ゴシック" w:cs="ＭＳ ゴシック"/>
          <w:b/>
          <w:sz w:val="24"/>
        </w:rPr>
        <w:t>「</w:t>
      </w:r>
      <w:r w:rsidR="006C0E36" w:rsidRPr="003C4C89">
        <w:rPr>
          <w:rFonts w:ascii="ＭＳ ゴシック" w:eastAsia="ＭＳ ゴシック" w:hAnsi="ＭＳ ゴシック" w:cs="ＭＳ ゴシック" w:hint="eastAsia"/>
          <w:b/>
          <w:sz w:val="24"/>
        </w:rPr>
        <w:t>首都圏から仙台への</w:t>
      </w:r>
      <w:r w:rsidR="00D82EA1">
        <w:rPr>
          <w:rFonts w:ascii="ＭＳ ゴシック" w:eastAsia="ＭＳ ゴシック" w:hAnsi="ＭＳ ゴシック" w:cs="ＭＳ ゴシック" w:hint="eastAsia"/>
          <w:b/>
          <w:sz w:val="24"/>
        </w:rPr>
        <w:t>インバウンド</w:t>
      </w:r>
      <w:r w:rsidR="006C0E36" w:rsidRPr="003C4C89">
        <w:rPr>
          <w:rFonts w:ascii="ＭＳ ゴシック" w:eastAsia="ＭＳ ゴシック" w:hAnsi="ＭＳ ゴシック" w:cs="ＭＳ ゴシック" w:hint="eastAsia"/>
          <w:b/>
          <w:sz w:val="24"/>
        </w:rPr>
        <w:t>誘客促進事業</w:t>
      </w:r>
      <w:r w:rsidRPr="003C4C89">
        <w:rPr>
          <w:rFonts w:ascii="ＭＳ ゴシック" w:eastAsia="ＭＳ ゴシック" w:hAnsi="ＭＳ ゴシック" w:cs="ＭＳ ゴシック"/>
          <w:b/>
          <w:sz w:val="24"/>
        </w:rPr>
        <w:t xml:space="preserve">」業務委託基本仕様書 </w:t>
      </w:r>
    </w:p>
    <w:p w:rsidR="004E79D9" w:rsidRDefault="00D11D53">
      <w:pPr>
        <w:spacing w:after="63" w:line="259" w:lineRule="auto"/>
        <w:ind w:left="0" w:firstLine="0"/>
      </w:pPr>
      <w:r>
        <w:t xml:space="preserve"> </w:t>
      </w:r>
    </w:p>
    <w:p w:rsidR="004E79D9" w:rsidRPr="003C4C89" w:rsidRDefault="00D11D53">
      <w:pPr>
        <w:numPr>
          <w:ilvl w:val="0"/>
          <w:numId w:val="1"/>
        </w:numPr>
        <w:spacing w:after="63" w:line="259" w:lineRule="auto"/>
        <w:ind w:hanging="422"/>
        <w:rPr>
          <w:b/>
        </w:rPr>
      </w:pPr>
      <w:r w:rsidRPr="003C4C89">
        <w:rPr>
          <w:rFonts w:ascii="ＭＳ ゴシック" w:eastAsia="ＭＳ ゴシック" w:hAnsi="ＭＳ ゴシック" w:cs="ＭＳ ゴシック"/>
          <w:b/>
        </w:rPr>
        <w:t xml:space="preserve">委託業務の名称 </w:t>
      </w:r>
    </w:p>
    <w:p w:rsidR="004E79D9" w:rsidRDefault="00D11D53">
      <w:pPr>
        <w:spacing w:after="63" w:line="259" w:lineRule="auto"/>
        <w:ind w:left="-5"/>
      </w:pPr>
      <w:r>
        <w:t xml:space="preserve"> </w:t>
      </w:r>
      <w:r w:rsidR="00CE728F">
        <w:rPr>
          <w:rFonts w:hint="eastAsia"/>
        </w:rPr>
        <w:t xml:space="preserve">　　　</w:t>
      </w:r>
      <w:r>
        <w:t xml:space="preserve"> </w:t>
      </w:r>
      <w:r w:rsidR="006C0E36" w:rsidRPr="006C0E36">
        <w:rPr>
          <w:rFonts w:hint="eastAsia"/>
        </w:rPr>
        <w:t>首都圏から仙台への</w:t>
      </w:r>
      <w:r w:rsidR="00A35861">
        <w:rPr>
          <w:rFonts w:hint="eastAsia"/>
        </w:rPr>
        <w:t>インバウンド</w:t>
      </w:r>
      <w:r w:rsidR="006C0E36" w:rsidRPr="006C0E36">
        <w:rPr>
          <w:rFonts w:hint="eastAsia"/>
        </w:rPr>
        <w:t>誘客促進事業</w:t>
      </w:r>
      <w:r>
        <w:t xml:space="preserve"> </w:t>
      </w:r>
    </w:p>
    <w:p w:rsidR="004E79D9" w:rsidRDefault="00D11D53">
      <w:pPr>
        <w:spacing w:after="63" w:line="259" w:lineRule="auto"/>
        <w:ind w:left="0" w:firstLine="0"/>
      </w:pPr>
      <w:r>
        <w:t xml:space="preserve"> </w:t>
      </w:r>
    </w:p>
    <w:p w:rsidR="004E79D9" w:rsidRPr="003C4C89" w:rsidRDefault="00D11D53">
      <w:pPr>
        <w:numPr>
          <w:ilvl w:val="0"/>
          <w:numId w:val="1"/>
        </w:numPr>
        <w:spacing w:after="63" w:line="259" w:lineRule="auto"/>
        <w:ind w:hanging="422"/>
        <w:rPr>
          <w:rFonts w:ascii="ＭＳ ゴシック" w:eastAsia="ＭＳ ゴシック" w:hAnsi="ＭＳ ゴシック" w:cs="ＭＳ ゴシック"/>
          <w:b/>
        </w:rPr>
      </w:pPr>
      <w:r w:rsidRPr="003C4C89">
        <w:rPr>
          <w:rFonts w:ascii="ＭＳ ゴシック" w:eastAsia="ＭＳ ゴシック" w:hAnsi="ＭＳ ゴシック" w:cs="ＭＳ ゴシック"/>
          <w:b/>
        </w:rPr>
        <w:t>委託業務の</w:t>
      </w:r>
      <w:r w:rsidR="00561255" w:rsidRPr="003C4C89">
        <w:rPr>
          <w:rFonts w:ascii="ＭＳ ゴシック" w:eastAsia="ＭＳ ゴシック" w:hAnsi="ＭＳ ゴシック" w:cs="ＭＳ ゴシック" w:hint="eastAsia"/>
          <w:b/>
        </w:rPr>
        <w:t>概要</w:t>
      </w:r>
      <w:r w:rsidRPr="003C4C89">
        <w:rPr>
          <w:rFonts w:ascii="ＭＳ ゴシック" w:eastAsia="ＭＳ ゴシック" w:hAnsi="ＭＳ ゴシック" w:cs="ＭＳ ゴシック"/>
          <w:b/>
        </w:rPr>
        <w:t xml:space="preserve"> </w:t>
      </w:r>
    </w:p>
    <w:p w:rsidR="004E79D9" w:rsidRDefault="00D11D53" w:rsidP="006C0E36">
      <w:pPr>
        <w:ind w:left="196" w:hanging="211"/>
      </w:pPr>
      <w:r>
        <w:t xml:space="preserve"> </w:t>
      </w:r>
      <w:r w:rsidR="006C0E36">
        <w:rPr>
          <w:rFonts w:hint="eastAsia"/>
        </w:rPr>
        <w:t xml:space="preserve">　　</w:t>
      </w:r>
      <w:r w:rsidR="006C0E36" w:rsidRPr="006C0E36">
        <w:rPr>
          <w:rFonts w:hint="eastAsia"/>
        </w:rPr>
        <w:t>旅行需要の回復と外国人観光客の獲得に向け、首都圏からの誘客や市内周遊のさらなる促進を図るため、旅マエプロモーションとして海外向け</w:t>
      </w:r>
      <w:r w:rsidR="006C0E36" w:rsidRPr="006C0E36">
        <w:t>SNS広告及びメディアでの</w:t>
      </w:r>
      <w:r w:rsidR="006C0E36" w:rsidRPr="005C19CE">
        <w:t>記事掲載、旅ナカプロモーションとして首都圏エリアにおける交通広告等を展開する。また、JR東日本と連携し、JR EAST PASS</w:t>
      </w:r>
      <w:r w:rsidR="00F507D3">
        <w:rPr>
          <w:rFonts w:hint="eastAsia"/>
        </w:rPr>
        <w:t>(以下</w:t>
      </w:r>
      <w:r w:rsidR="00F507D3">
        <w:t>「</w:t>
      </w:r>
      <w:r w:rsidR="00F507D3">
        <w:rPr>
          <w:rFonts w:hint="eastAsia"/>
        </w:rPr>
        <w:t>JEP</w:t>
      </w:r>
      <w:r w:rsidR="00F507D3">
        <w:t>」という。</w:t>
      </w:r>
      <w:r w:rsidR="00F507D3">
        <w:rPr>
          <w:rFonts w:hint="eastAsia"/>
        </w:rPr>
        <w:t>)</w:t>
      </w:r>
      <w:r w:rsidR="006C0E36" w:rsidRPr="005C19CE">
        <w:t>購入者向けに仙台周遊を促す</w:t>
      </w:r>
      <w:r w:rsidR="00DD4BB6">
        <w:t>特典</w:t>
      </w:r>
      <w:r w:rsidR="006C0E36" w:rsidRPr="005C19CE">
        <w:t>を提供する。</w:t>
      </w:r>
      <w:r>
        <w:t xml:space="preserve"> </w:t>
      </w:r>
    </w:p>
    <w:p w:rsidR="006C0E36" w:rsidRDefault="006C0E36" w:rsidP="006C0E36">
      <w:pPr>
        <w:ind w:left="196" w:hanging="211"/>
      </w:pPr>
    </w:p>
    <w:p w:rsidR="004E79D9" w:rsidRPr="003C4C89" w:rsidRDefault="00D11D53" w:rsidP="003C4C89">
      <w:pPr>
        <w:numPr>
          <w:ilvl w:val="0"/>
          <w:numId w:val="1"/>
        </w:numPr>
        <w:spacing w:after="63" w:line="259" w:lineRule="auto"/>
        <w:ind w:hanging="422"/>
        <w:rPr>
          <w:rFonts w:ascii="ＭＳ ゴシック" w:eastAsia="ＭＳ ゴシック" w:hAnsi="ＭＳ ゴシック" w:cs="ＭＳ ゴシック"/>
          <w:b/>
        </w:rPr>
      </w:pPr>
      <w:r w:rsidRPr="003C4C89">
        <w:rPr>
          <w:rFonts w:ascii="ＭＳ ゴシック" w:eastAsia="ＭＳ ゴシック" w:hAnsi="ＭＳ ゴシック" w:cs="ＭＳ ゴシック"/>
          <w:b/>
        </w:rPr>
        <w:t xml:space="preserve">委託期間 </w:t>
      </w:r>
    </w:p>
    <w:p w:rsidR="00DA4FC1" w:rsidRDefault="00D11D53">
      <w:pPr>
        <w:spacing w:after="63" w:line="259" w:lineRule="auto"/>
        <w:ind w:left="-5"/>
      </w:pPr>
      <w:r>
        <w:t xml:space="preserve">  </w:t>
      </w:r>
      <w:r w:rsidR="00CE728F">
        <w:rPr>
          <w:rFonts w:hint="eastAsia"/>
        </w:rPr>
        <w:t xml:space="preserve">　　　</w:t>
      </w:r>
      <w:r w:rsidR="006C0E36">
        <w:t>契約締結の日から令和</w:t>
      </w:r>
      <w:r w:rsidR="006C0E36">
        <w:rPr>
          <w:rFonts w:hint="eastAsia"/>
        </w:rPr>
        <w:t>６</w:t>
      </w:r>
      <w:r>
        <w:t>年３月</w:t>
      </w:r>
      <w:r w:rsidR="00DA4FC1">
        <w:rPr>
          <w:rFonts w:hint="eastAsia"/>
        </w:rPr>
        <w:t>31</w:t>
      </w:r>
      <w:r>
        <w:t>日</w:t>
      </w:r>
      <w:r w:rsidR="005B09B0">
        <w:t>（</w:t>
      </w:r>
      <w:r w:rsidR="005B09B0">
        <w:rPr>
          <w:rFonts w:hint="eastAsia"/>
        </w:rPr>
        <w:t>日</w:t>
      </w:r>
      <w:r>
        <w:t xml:space="preserve">）まで </w:t>
      </w:r>
    </w:p>
    <w:p w:rsidR="004E79D9" w:rsidRDefault="00DA4FC1" w:rsidP="00DA4FC1">
      <w:pPr>
        <w:spacing w:after="63" w:line="259" w:lineRule="auto"/>
        <w:ind w:leftChars="100" w:left="210" w:firstLineChars="100" w:firstLine="210"/>
      </w:pPr>
      <w:r>
        <w:rPr>
          <w:rFonts w:asciiTheme="minorEastAsia" w:hAnsiTheme="minorEastAsia" w:hint="eastAsia"/>
        </w:rPr>
        <w:t>(</w:t>
      </w:r>
      <w:r>
        <w:rPr>
          <w:rFonts w:asciiTheme="minorEastAsia" w:hAnsiTheme="minorEastAsia" w:hint="eastAsia"/>
        </w:rPr>
        <w:t>ただし、事業進捗に応じて変更</w:t>
      </w:r>
      <w:r w:rsidR="002A6209">
        <w:rPr>
          <w:rFonts w:asciiTheme="minorEastAsia" w:hAnsiTheme="minorEastAsia" w:hint="eastAsia"/>
        </w:rPr>
        <w:t>の</w:t>
      </w:r>
      <w:r>
        <w:rPr>
          <w:rFonts w:asciiTheme="minorEastAsia" w:hAnsiTheme="minorEastAsia" w:hint="eastAsia"/>
        </w:rPr>
        <w:t>可能性あり</w:t>
      </w:r>
      <w:r>
        <w:rPr>
          <w:rFonts w:asciiTheme="minorEastAsia" w:hAnsiTheme="minorEastAsia" w:hint="eastAsia"/>
        </w:rPr>
        <w:t>)</w:t>
      </w:r>
    </w:p>
    <w:p w:rsidR="004E79D9" w:rsidRDefault="00D11D53">
      <w:pPr>
        <w:spacing w:after="64" w:line="259" w:lineRule="auto"/>
        <w:ind w:left="0" w:firstLine="0"/>
      </w:pPr>
      <w:r>
        <w:t xml:space="preserve"> </w:t>
      </w:r>
    </w:p>
    <w:p w:rsidR="004E79D9" w:rsidRPr="003C4C89" w:rsidRDefault="00D11D53" w:rsidP="003C4C89">
      <w:pPr>
        <w:numPr>
          <w:ilvl w:val="0"/>
          <w:numId w:val="1"/>
        </w:numPr>
        <w:spacing w:after="63" w:line="259" w:lineRule="auto"/>
        <w:ind w:hanging="422"/>
        <w:rPr>
          <w:rFonts w:ascii="ＭＳ ゴシック" w:eastAsia="ＭＳ ゴシック" w:hAnsi="ＭＳ ゴシック" w:cs="ＭＳ ゴシック"/>
          <w:b/>
        </w:rPr>
      </w:pPr>
      <w:r w:rsidRPr="003C4C89">
        <w:rPr>
          <w:rFonts w:ascii="ＭＳ ゴシック" w:eastAsia="ＭＳ ゴシック" w:hAnsi="ＭＳ ゴシック" w:cs="ＭＳ ゴシック"/>
          <w:b/>
        </w:rPr>
        <w:t>委託業務の</w:t>
      </w:r>
      <w:r w:rsidR="00561255" w:rsidRPr="003C4C89">
        <w:rPr>
          <w:rFonts w:ascii="ＭＳ ゴシック" w:eastAsia="ＭＳ ゴシック" w:hAnsi="ＭＳ ゴシック" w:cs="ＭＳ ゴシック" w:hint="eastAsia"/>
          <w:b/>
        </w:rPr>
        <w:t>詳細</w:t>
      </w:r>
      <w:r w:rsidRPr="003C4C89">
        <w:rPr>
          <w:rFonts w:ascii="ＭＳ ゴシック" w:eastAsia="ＭＳ ゴシック" w:hAnsi="ＭＳ ゴシック" w:cs="ＭＳ ゴシック"/>
          <w:b/>
        </w:rPr>
        <w:t xml:space="preserve"> </w:t>
      </w:r>
    </w:p>
    <w:p w:rsidR="008B7032" w:rsidRDefault="008B7032" w:rsidP="008B7032">
      <w:pPr>
        <w:ind w:leftChars="100" w:left="422" w:hangingChars="101" w:hanging="212"/>
      </w:pPr>
      <w:r>
        <w:rPr>
          <w:rFonts w:hint="eastAsia"/>
        </w:rPr>
        <w:t>（１）～（４）の業務内容について、下記に留意しながら実施すること。</w:t>
      </w:r>
    </w:p>
    <w:p w:rsidR="008B7032" w:rsidRDefault="008B7032" w:rsidP="008B7032">
      <w:pPr>
        <w:ind w:leftChars="100" w:left="422" w:hangingChars="101" w:hanging="212"/>
      </w:pPr>
      <w:r>
        <w:rPr>
          <w:rFonts w:hint="eastAsia"/>
        </w:rPr>
        <w:t>・</w:t>
      </w:r>
      <w:r w:rsidR="00CC3BE0">
        <w:rPr>
          <w:rFonts w:hint="eastAsia"/>
        </w:rPr>
        <w:t>事業のターゲット</w:t>
      </w:r>
      <w:r>
        <w:rPr>
          <w:rFonts w:hint="eastAsia"/>
        </w:rPr>
        <w:t>国・地域について</w:t>
      </w:r>
      <w:r w:rsidR="00CC3BE0">
        <w:rPr>
          <w:rFonts w:hint="eastAsia"/>
        </w:rPr>
        <w:t>は全</w:t>
      </w:r>
      <w:bookmarkStart w:id="0" w:name="_GoBack"/>
      <w:bookmarkEnd w:id="0"/>
      <w:r w:rsidR="00CC3BE0">
        <w:rPr>
          <w:rFonts w:hint="eastAsia"/>
        </w:rPr>
        <w:t>市場とするが</w:t>
      </w:r>
      <w:r w:rsidR="00D82EA1">
        <w:rPr>
          <w:rFonts w:hint="eastAsia"/>
        </w:rPr>
        <w:t>、旅マエプロモーションに</w:t>
      </w:r>
      <w:r w:rsidR="000534D6">
        <w:rPr>
          <w:rFonts w:hint="eastAsia"/>
        </w:rPr>
        <w:t>おいて</w:t>
      </w:r>
      <w:r w:rsidR="00D82EA1">
        <w:rPr>
          <w:rFonts w:hint="eastAsia"/>
        </w:rPr>
        <w:t>は</w:t>
      </w:r>
      <w:r>
        <w:rPr>
          <w:rFonts w:hint="eastAsia"/>
        </w:rPr>
        <w:t>仙台空港からの直行便が</w:t>
      </w:r>
      <w:r w:rsidR="00D82EA1">
        <w:rPr>
          <w:rFonts w:hint="eastAsia"/>
        </w:rPr>
        <w:t>なくプロモーションによる仙台・東北での宿泊</w:t>
      </w:r>
      <w:r w:rsidR="00DE530E">
        <w:rPr>
          <w:rFonts w:hint="eastAsia"/>
        </w:rPr>
        <w:t>者数</w:t>
      </w:r>
      <w:r w:rsidR="00D82EA1">
        <w:rPr>
          <w:rFonts w:hint="eastAsia"/>
        </w:rPr>
        <w:t>増加が見込める</w:t>
      </w:r>
      <w:r>
        <w:rPr>
          <w:rFonts w:hint="eastAsia"/>
        </w:rPr>
        <w:t>国（欧米豪、香港、シンガポール等）</w:t>
      </w:r>
      <w:r w:rsidR="000534D6">
        <w:rPr>
          <w:rFonts w:hint="eastAsia"/>
        </w:rPr>
        <w:t>を想定</w:t>
      </w:r>
      <w:r w:rsidR="00CC3BE0">
        <w:rPr>
          <w:rFonts w:hint="eastAsia"/>
        </w:rPr>
        <w:t>している</w:t>
      </w:r>
      <w:r>
        <w:rPr>
          <w:rFonts w:hint="eastAsia"/>
        </w:rPr>
        <w:t>。</w:t>
      </w:r>
    </w:p>
    <w:p w:rsidR="008B7032" w:rsidRDefault="008B7032" w:rsidP="008B7032">
      <w:pPr>
        <w:ind w:leftChars="100" w:left="422" w:hangingChars="101" w:hanging="212"/>
      </w:pPr>
      <w:r>
        <w:rPr>
          <w:rFonts w:hint="eastAsia"/>
        </w:rPr>
        <w:t>・共同実施主体である（公財）仙台観光国際協会（以下、SenTIA）、連携先であるJR東日本</w:t>
      </w:r>
      <w:r w:rsidR="00A1437D">
        <w:rPr>
          <w:rFonts w:hint="eastAsia"/>
        </w:rPr>
        <w:t>、その他事業実施に当たって必要な関係先と密に連絡を取り合い、情報共有を行う</w:t>
      </w:r>
      <w:r>
        <w:rPr>
          <w:rFonts w:hint="eastAsia"/>
        </w:rPr>
        <w:t>こと。</w:t>
      </w:r>
    </w:p>
    <w:p w:rsidR="008B7032" w:rsidRPr="006C7727" w:rsidRDefault="008B7032" w:rsidP="008B7032">
      <w:pPr>
        <w:ind w:leftChars="100" w:left="422" w:hangingChars="101" w:hanging="212"/>
      </w:pPr>
      <w:r>
        <w:rPr>
          <w:rFonts w:hint="eastAsia"/>
        </w:rPr>
        <w:t>・予算配分の目安として、（１）：（２）：（３）</w:t>
      </w:r>
      <w:r w:rsidR="009E7969">
        <w:rPr>
          <w:rFonts w:hint="eastAsia"/>
        </w:rPr>
        <w:t>：（４）</w:t>
      </w:r>
      <w:r>
        <w:rPr>
          <w:rFonts w:hint="eastAsia"/>
        </w:rPr>
        <w:t>の割合を</w:t>
      </w:r>
      <w:r w:rsidR="00D82EA1">
        <w:rPr>
          <w:rFonts w:hint="eastAsia"/>
        </w:rPr>
        <w:t>５：３：1.5</w:t>
      </w:r>
      <w:r w:rsidR="009E7969" w:rsidRPr="003C48DA">
        <w:rPr>
          <w:rFonts w:hint="eastAsia"/>
        </w:rPr>
        <w:t>：</w:t>
      </w:r>
      <w:r w:rsidR="00A35861" w:rsidRPr="003C48DA">
        <w:rPr>
          <w:rFonts w:hint="eastAsia"/>
        </w:rPr>
        <w:t>0.5</w:t>
      </w:r>
      <w:r>
        <w:rPr>
          <w:rFonts w:hint="eastAsia"/>
        </w:rPr>
        <w:t>とすること。</w:t>
      </w:r>
    </w:p>
    <w:p w:rsidR="008B7032" w:rsidRDefault="008B7032" w:rsidP="008B7032"/>
    <w:p w:rsidR="008B7032" w:rsidRPr="00E41674" w:rsidRDefault="008B7032" w:rsidP="008B7032">
      <w:pPr>
        <w:numPr>
          <w:ilvl w:val="0"/>
          <w:numId w:val="4"/>
        </w:numPr>
        <w:spacing w:after="63" w:line="259" w:lineRule="auto"/>
        <w:ind w:hanging="631"/>
        <w:rPr>
          <w:rFonts w:ascii="ＭＳ ゴシック" w:eastAsia="ＭＳ ゴシック"/>
          <w:b/>
        </w:rPr>
      </w:pPr>
      <w:r w:rsidRPr="00E41674">
        <w:rPr>
          <w:rFonts w:ascii="ＭＳ ゴシック" w:eastAsia="ＭＳ ゴシック" w:hint="eastAsia"/>
          <w:b/>
        </w:rPr>
        <w:t>JEP購入者への特典配布</w:t>
      </w:r>
    </w:p>
    <w:p w:rsidR="008B7032" w:rsidRDefault="008B7032" w:rsidP="008B7032">
      <w:pPr>
        <w:spacing w:after="63" w:line="259" w:lineRule="auto"/>
        <w:ind w:left="0" w:firstLineChars="135" w:firstLine="283"/>
      </w:pPr>
      <w:r>
        <w:rPr>
          <w:rFonts w:hint="eastAsia"/>
        </w:rPr>
        <w:t>①「るーぷる仙台・地下鉄共通一日乗車券（以下、乗車券）」の配布</w:t>
      </w:r>
    </w:p>
    <w:p w:rsidR="008B7032" w:rsidRDefault="008B7032" w:rsidP="008B7032">
      <w:pPr>
        <w:ind w:leftChars="100" w:left="422" w:hangingChars="101" w:hanging="212"/>
      </w:pPr>
      <w:r>
        <w:rPr>
          <w:rFonts w:hint="eastAsia"/>
        </w:rPr>
        <w:t>・配布枚数は10,000枚以上と</w:t>
      </w:r>
      <w:r w:rsidR="00F21F92">
        <w:rPr>
          <w:rFonts w:hint="eastAsia"/>
        </w:rPr>
        <w:t>し、その費用920万円を計上すること。</w:t>
      </w:r>
    </w:p>
    <w:p w:rsidR="008B7032" w:rsidRDefault="008B7032" w:rsidP="008B7032">
      <w:pPr>
        <w:ind w:leftChars="100" w:left="422" w:hangingChars="101" w:hanging="212"/>
      </w:pPr>
      <w:r>
        <w:rPr>
          <w:rFonts w:hint="eastAsia"/>
        </w:rPr>
        <w:t>・配布場所は仙台駅の</w:t>
      </w:r>
      <w:r w:rsidR="00A35861">
        <w:rPr>
          <w:rFonts w:hint="eastAsia"/>
        </w:rPr>
        <w:t>JR EAST Travel Service Center</w:t>
      </w:r>
      <w:r>
        <w:rPr>
          <w:rFonts w:hint="eastAsia"/>
        </w:rPr>
        <w:t>とする。</w:t>
      </w:r>
    </w:p>
    <w:p w:rsidR="008B7032" w:rsidRDefault="008B7032" w:rsidP="008B7032">
      <w:pPr>
        <w:ind w:leftChars="100" w:left="422" w:hangingChars="101" w:hanging="212"/>
      </w:pPr>
      <w:r>
        <w:rPr>
          <w:rFonts w:hint="eastAsia"/>
        </w:rPr>
        <w:t>・配布条件はJEP1枚の提示につき</w:t>
      </w:r>
      <w:r w:rsidR="009B18D1">
        <w:rPr>
          <w:rFonts w:hint="eastAsia"/>
        </w:rPr>
        <w:t>乗車券</w:t>
      </w:r>
      <w:r>
        <w:rPr>
          <w:rFonts w:hint="eastAsia"/>
        </w:rPr>
        <w:t>1枚</w:t>
      </w:r>
      <w:r w:rsidR="009B18D1">
        <w:rPr>
          <w:rFonts w:hint="eastAsia"/>
        </w:rPr>
        <w:t>(当日限り有効)</w:t>
      </w:r>
      <w:r>
        <w:rPr>
          <w:rFonts w:hint="eastAsia"/>
        </w:rPr>
        <w:t>とし、「るーぷる仙台」の外国語版リーフレットを合わせて配布する。キャンペーン参加者が同伴する1歳以上5歳以下の者には無条件で小人乗車券を配布すること。</w:t>
      </w:r>
    </w:p>
    <w:p w:rsidR="00A35861" w:rsidRDefault="00A35861" w:rsidP="008B7032">
      <w:pPr>
        <w:ind w:leftChars="100" w:left="422" w:hangingChars="101" w:hanging="212"/>
      </w:pPr>
      <w:r>
        <w:rPr>
          <w:rFonts w:hint="eastAsia"/>
        </w:rPr>
        <w:t>・配布時に日付入りスタンプ</w:t>
      </w:r>
      <w:r w:rsidR="001705B5">
        <w:rPr>
          <w:rFonts w:hint="eastAsia"/>
        </w:rPr>
        <w:t>(委託者より支給)</w:t>
      </w:r>
      <w:r>
        <w:rPr>
          <w:rFonts w:hint="eastAsia"/>
        </w:rPr>
        <w:t>を</w:t>
      </w:r>
      <w:r w:rsidR="00873CAF">
        <w:rPr>
          <w:rFonts w:hint="eastAsia"/>
        </w:rPr>
        <w:t>押印</w:t>
      </w:r>
      <w:r>
        <w:rPr>
          <w:rFonts w:hint="eastAsia"/>
        </w:rPr>
        <w:t>すること。</w:t>
      </w:r>
    </w:p>
    <w:p w:rsidR="008B7032" w:rsidRDefault="008B7032" w:rsidP="008B7032">
      <w:pPr>
        <w:ind w:leftChars="100" w:left="422" w:hangingChars="101" w:hanging="212"/>
      </w:pPr>
      <w:r>
        <w:rPr>
          <w:rFonts w:hint="eastAsia"/>
        </w:rPr>
        <w:lastRenderedPageBreak/>
        <w:t>・乗車券の調達については、SenTIAより</w:t>
      </w:r>
      <w:r w:rsidR="00A35861">
        <w:rPr>
          <w:rFonts w:hint="eastAsia"/>
        </w:rPr>
        <w:t>購入し</w:t>
      </w:r>
      <w:r w:rsidRPr="00863F35">
        <w:rPr>
          <w:rFonts w:hint="eastAsia"/>
        </w:rPr>
        <w:t>、毎月</w:t>
      </w:r>
      <w:r>
        <w:rPr>
          <w:rFonts w:hint="eastAsia"/>
        </w:rPr>
        <w:t>SenTIA</w:t>
      </w:r>
      <w:r w:rsidR="00A35861">
        <w:rPr>
          <w:rFonts w:hint="eastAsia"/>
        </w:rPr>
        <w:t>への配布数の報告</w:t>
      </w:r>
      <w:r w:rsidRPr="00863F35">
        <w:rPr>
          <w:rFonts w:hint="eastAsia"/>
        </w:rPr>
        <w:t>を行うこと。</w:t>
      </w:r>
    </w:p>
    <w:p w:rsidR="008B7032" w:rsidRDefault="008B7032" w:rsidP="008B7032">
      <w:pPr>
        <w:ind w:leftChars="100" w:left="422" w:hangingChars="101" w:hanging="212"/>
      </w:pPr>
      <w:r>
        <w:rPr>
          <w:rFonts w:hint="eastAsia"/>
        </w:rPr>
        <w:t>・「るーぷる仙台」の外国語版リーフレットを12,000部印刷し、その費用35万円（見込）を計上すること。</w:t>
      </w:r>
    </w:p>
    <w:p w:rsidR="008B7032" w:rsidRPr="00946233" w:rsidRDefault="008B7032" w:rsidP="008B7032"/>
    <w:p w:rsidR="008B7032" w:rsidRDefault="008B7032" w:rsidP="008B7032">
      <w:pPr>
        <w:spacing w:after="63" w:line="259" w:lineRule="auto"/>
        <w:ind w:left="0" w:firstLineChars="135" w:firstLine="283"/>
      </w:pPr>
      <w:r>
        <w:rPr>
          <w:rFonts w:hint="eastAsia"/>
        </w:rPr>
        <w:t>②「旅コレクーポン（※）」の配布</w:t>
      </w:r>
    </w:p>
    <w:p w:rsidR="008B7032" w:rsidRDefault="008B7032" w:rsidP="008B7032">
      <w:pPr>
        <w:ind w:leftChars="67" w:left="709" w:hanging="568"/>
      </w:pPr>
      <w:r>
        <w:rPr>
          <w:rFonts w:hint="eastAsia"/>
        </w:rPr>
        <w:t xml:space="preserve">　※「仙台旅先体験コレクション」（</w:t>
      </w:r>
      <w:hyperlink r:id="rId8" w:history="1">
        <w:r w:rsidRPr="00417F58">
          <w:rPr>
            <w:rStyle w:val="a6"/>
          </w:rPr>
          <w:t>https://sendai-experience.com/en/</w:t>
        </w:r>
      </w:hyperlink>
      <w:r>
        <w:rPr>
          <w:rFonts w:hint="eastAsia"/>
        </w:rPr>
        <w:t>）に掲載されている体験のうち対象となる体験に利用できるクーポン</w:t>
      </w:r>
    </w:p>
    <w:p w:rsidR="008B7032" w:rsidRDefault="008B7032" w:rsidP="008B7032">
      <w:pPr>
        <w:ind w:leftChars="100" w:left="422" w:hangingChars="101" w:hanging="212"/>
      </w:pPr>
      <w:r>
        <w:rPr>
          <w:rFonts w:hint="eastAsia"/>
        </w:rPr>
        <w:t>・配布枚数は3,000組（1組＝1,000円×2枚）と</w:t>
      </w:r>
      <w:r w:rsidR="00F21F92">
        <w:rPr>
          <w:rFonts w:hint="eastAsia"/>
        </w:rPr>
        <w:t>し、その費用600万円を計上すること</w:t>
      </w:r>
      <w:r>
        <w:rPr>
          <w:rFonts w:hint="eastAsia"/>
        </w:rPr>
        <w:t>。</w:t>
      </w:r>
    </w:p>
    <w:p w:rsidR="008B7032" w:rsidRDefault="008B7032" w:rsidP="008B7032">
      <w:pPr>
        <w:ind w:leftChars="100" w:left="422" w:hangingChars="101" w:hanging="212"/>
      </w:pPr>
      <w:r>
        <w:rPr>
          <w:rFonts w:hint="eastAsia"/>
        </w:rPr>
        <w:t>・配布場所は仙台駅の</w:t>
      </w:r>
      <w:r w:rsidR="00A35861">
        <w:rPr>
          <w:rFonts w:hint="eastAsia"/>
        </w:rPr>
        <w:t>JR EAST Travel Service Center</w:t>
      </w:r>
      <w:r>
        <w:rPr>
          <w:rFonts w:hint="eastAsia"/>
        </w:rPr>
        <w:t>とする。</w:t>
      </w:r>
    </w:p>
    <w:p w:rsidR="008B7032" w:rsidRDefault="008B7032" w:rsidP="008B7032">
      <w:pPr>
        <w:ind w:leftChars="100" w:left="422" w:hangingChars="101" w:hanging="212"/>
      </w:pPr>
      <w:r>
        <w:rPr>
          <w:rFonts w:hint="eastAsia"/>
        </w:rPr>
        <w:t>・配布条件はJEP1枚の提示につき1組とし、利用可能なプログラムのチラシを合わせて配布する。</w:t>
      </w:r>
    </w:p>
    <w:p w:rsidR="008B7032" w:rsidRDefault="008B7032" w:rsidP="008B7032">
      <w:pPr>
        <w:ind w:leftChars="100" w:left="422" w:hangingChars="101" w:hanging="212"/>
      </w:pPr>
      <w:r>
        <w:rPr>
          <w:rFonts w:hint="eastAsia"/>
        </w:rPr>
        <w:t>・クーポン券を作成</w:t>
      </w:r>
      <w:r w:rsidR="00F21F92">
        <w:rPr>
          <w:rFonts w:hint="eastAsia"/>
        </w:rPr>
        <w:t>し、券面は</w:t>
      </w:r>
      <w:r>
        <w:rPr>
          <w:rFonts w:hint="eastAsia"/>
        </w:rPr>
        <w:t>ナンバリング</w:t>
      </w:r>
      <w:r w:rsidR="00D82EA1">
        <w:rPr>
          <w:rFonts w:hint="eastAsia"/>
        </w:rPr>
        <w:t>等の工夫</w:t>
      </w:r>
      <w:r>
        <w:rPr>
          <w:rFonts w:hint="eastAsia"/>
        </w:rPr>
        <w:t>を行い、不正防止策を講じること。また、</w:t>
      </w:r>
      <w:r w:rsidRPr="00A87FF8">
        <w:rPr>
          <w:rFonts w:hint="eastAsia"/>
        </w:rPr>
        <w:t>デザインや記載事項については本市と協議のうえ決定すること</w:t>
      </w:r>
      <w:r>
        <w:rPr>
          <w:rFonts w:hint="eastAsia"/>
        </w:rPr>
        <w:t>。</w:t>
      </w:r>
    </w:p>
    <w:p w:rsidR="008B7032" w:rsidRDefault="008B7032" w:rsidP="008B7032">
      <w:pPr>
        <w:ind w:leftChars="100" w:left="422" w:hangingChars="101" w:hanging="212"/>
      </w:pPr>
      <w:r>
        <w:rPr>
          <w:rFonts w:hint="eastAsia"/>
        </w:rPr>
        <w:t>・クーポンの利用場所となる体験プログラムは、SenTIAが旅先体験コレクションに掲載の事業者から募集を行うこととし、受託者は応募の受付・選定、参加事業者の連絡調整、説明会の開催、問い合わせ対応、マニュアル及びツール（※）等の作成・配布を行うこと。</w:t>
      </w:r>
    </w:p>
    <w:p w:rsidR="00D82EA1" w:rsidRDefault="00D82EA1" w:rsidP="008B7032">
      <w:pPr>
        <w:ind w:leftChars="100" w:left="422" w:hangingChars="101" w:hanging="212"/>
      </w:pPr>
      <w:r>
        <w:rPr>
          <w:rFonts w:hint="eastAsia"/>
        </w:rPr>
        <w:t>・クーポンの配布は参加事業者との調整が整い次第行うこととし、乗車券配布開始時とは別の開始時期を設けても構わないものとする。</w:t>
      </w:r>
    </w:p>
    <w:p w:rsidR="008B7032" w:rsidRDefault="008B7032" w:rsidP="008B7032">
      <w:pPr>
        <w:ind w:leftChars="100" w:left="422" w:hangingChars="101" w:hanging="212"/>
      </w:pPr>
      <w:r>
        <w:rPr>
          <w:rFonts w:hint="eastAsia"/>
        </w:rPr>
        <w:t>・旅先体験コレクションにクーポン対象プログラムとして掲載することとし、掲載の作業は、サイトの管理受託者である（一社）まちくる仙台に委託し、その費用58万円（見込）を計上すること。</w:t>
      </w:r>
    </w:p>
    <w:p w:rsidR="008B7032" w:rsidRDefault="008B7032" w:rsidP="008B7032">
      <w:pPr>
        <w:ind w:leftChars="100" w:left="601" w:hangingChars="186" w:hanging="391"/>
      </w:pPr>
      <w:r>
        <w:rPr>
          <w:rFonts w:hint="eastAsia"/>
        </w:rPr>
        <w:t>・参加事業者から</w:t>
      </w:r>
      <w:r w:rsidRPr="00F21F92">
        <w:rPr>
          <w:rFonts w:hint="eastAsia"/>
        </w:rPr>
        <w:t>毎月</w:t>
      </w:r>
      <w:r>
        <w:rPr>
          <w:rFonts w:hint="eastAsia"/>
        </w:rPr>
        <w:t>クーポンの利用報告を受け、精算処理を行うこと。</w:t>
      </w:r>
    </w:p>
    <w:p w:rsidR="008B7032" w:rsidRPr="007619A2" w:rsidRDefault="008B7032" w:rsidP="008B7032">
      <w:pPr>
        <w:ind w:leftChars="100" w:left="422" w:hangingChars="101" w:hanging="212"/>
      </w:pPr>
      <w:r>
        <w:rPr>
          <w:rFonts w:hint="eastAsia"/>
        </w:rPr>
        <w:t>・クーポンは使用期限を設け、期限を過ぎて未使用となった予算は新たに配布するクーポン費用として、使用率の向上に努めること。</w:t>
      </w:r>
    </w:p>
    <w:p w:rsidR="008B7032" w:rsidRPr="00784C6E" w:rsidRDefault="008B7032" w:rsidP="008B7032">
      <w:pPr>
        <w:ind w:left="424" w:hangingChars="202" w:hanging="424"/>
      </w:pPr>
    </w:p>
    <w:p w:rsidR="008B7032" w:rsidRDefault="008B7032" w:rsidP="008B7032">
      <w:pPr>
        <w:spacing w:after="63" w:line="259" w:lineRule="auto"/>
        <w:ind w:left="0" w:firstLineChars="135" w:firstLine="283"/>
      </w:pPr>
      <w:r>
        <w:rPr>
          <w:rFonts w:hint="eastAsia"/>
        </w:rPr>
        <w:t>③事務局の設置</w:t>
      </w:r>
    </w:p>
    <w:p w:rsidR="008B7032" w:rsidRDefault="008B7032" w:rsidP="008B7032">
      <w:pPr>
        <w:ind w:left="424" w:hangingChars="202" w:hanging="424"/>
      </w:pPr>
      <w:r>
        <w:rPr>
          <w:rFonts w:hint="eastAsia"/>
        </w:rPr>
        <w:t xml:space="preserve">　・インバウンドや旅コレクーポン参加事業者からの問い合わせに対応するため事務局を設置し、</w:t>
      </w:r>
      <w:r w:rsidRPr="006C7727">
        <w:rPr>
          <w:rFonts w:hint="eastAsia"/>
        </w:rPr>
        <w:t>電話及びメールにて</w:t>
      </w:r>
      <w:r>
        <w:rPr>
          <w:rFonts w:hint="eastAsia"/>
        </w:rPr>
        <w:t>対応すること。</w:t>
      </w:r>
    </w:p>
    <w:p w:rsidR="008B7032" w:rsidRDefault="008B7032" w:rsidP="008B7032">
      <w:pPr>
        <w:ind w:leftChars="100" w:left="422" w:hangingChars="101" w:hanging="212"/>
      </w:pPr>
      <w:r w:rsidRPr="000C33F1">
        <w:rPr>
          <w:rFonts w:hint="eastAsia"/>
        </w:rPr>
        <w:t>・</w:t>
      </w:r>
      <w:r w:rsidR="003C48DA">
        <w:rPr>
          <w:rFonts w:hint="eastAsia"/>
        </w:rPr>
        <w:t>JR EAST Travel Service Center</w:t>
      </w:r>
      <w:r>
        <w:rPr>
          <w:rFonts w:hint="eastAsia"/>
        </w:rPr>
        <w:t>向けのマニュアルを作成し、</w:t>
      </w:r>
      <w:r w:rsidRPr="006C7727">
        <w:rPr>
          <w:rFonts w:hint="eastAsia"/>
        </w:rPr>
        <w:t>電話及びメールにて</w:t>
      </w:r>
      <w:r>
        <w:rPr>
          <w:rFonts w:hint="eastAsia"/>
        </w:rPr>
        <w:t>問い合わせ対応を行うこと。</w:t>
      </w:r>
    </w:p>
    <w:p w:rsidR="008B7032" w:rsidRPr="002424BB" w:rsidRDefault="008B7032" w:rsidP="008B7032">
      <w:pPr>
        <w:ind w:leftChars="100" w:left="422" w:hangingChars="101" w:hanging="212"/>
      </w:pPr>
    </w:p>
    <w:p w:rsidR="008B7032" w:rsidRPr="00E41674" w:rsidRDefault="008B7032" w:rsidP="008B7032">
      <w:pPr>
        <w:numPr>
          <w:ilvl w:val="0"/>
          <w:numId w:val="4"/>
        </w:numPr>
        <w:spacing w:after="63" w:line="259" w:lineRule="auto"/>
        <w:ind w:hanging="631"/>
        <w:rPr>
          <w:rFonts w:ascii="ＭＳ ゴシック" w:eastAsia="ＭＳ ゴシック"/>
          <w:b/>
        </w:rPr>
      </w:pPr>
      <w:r w:rsidRPr="00E41674">
        <w:rPr>
          <w:rFonts w:ascii="ＭＳ ゴシック" w:eastAsia="ＭＳ ゴシック" w:hint="eastAsia"/>
          <w:b/>
        </w:rPr>
        <w:t>旅マエプロモーションの実施</w:t>
      </w:r>
    </w:p>
    <w:p w:rsidR="008B7032" w:rsidRDefault="008B7032" w:rsidP="008B7032">
      <w:pPr>
        <w:spacing w:after="63" w:line="259" w:lineRule="auto"/>
        <w:ind w:left="0" w:firstLineChars="135" w:firstLine="283"/>
      </w:pPr>
      <w:r>
        <w:rPr>
          <w:rFonts w:hint="eastAsia"/>
        </w:rPr>
        <w:lastRenderedPageBreak/>
        <w:t>①デジタル広告</w:t>
      </w:r>
      <w:r w:rsidR="003C48DA">
        <w:rPr>
          <w:rFonts w:hint="eastAsia"/>
        </w:rPr>
        <w:t>等</w:t>
      </w:r>
      <w:r>
        <w:rPr>
          <w:rFonts w:hint="eastAsia"/>
        </w:rPr>
        <w:t>の実施</w:t>
      </w:r>
    </w:p>
    <w:p w:rsidR="008B7032" w:rsidRDefault="008B7032" w:rsidP="008B7032">
      <w:pPr>
        <w:ind w:leftChars="100" w:left="422" w:hangingChars="101" w:hanging="212"/>
      </w:pPr>
      <w:r>
        <w:rPr>
          <w:rFonts w:hint="eastAsia"/>
        </w:rPr>
        <w:t>・訪日旅行者を検討するインバウンドを対象として、首都圏からの仙台市への来訪促進に効果的・効率的な広告手法を選定し、JEP購入者への特典配布及び仙台・東北の観光の魅力を訴求する広告を実施すること。</w:t>
      </w:r>
    </w:p>
    <w:p w:rsidR="008B7032" w:rsidRDefault="008B7032" w:rsidP="008B7032">
      <w:pPr>
        <w:ind w:leftChars="100" w:left="422" w:hangingChars="101" w:hanging="212"/>
      </w:pPr>
      <w:r>
        <w:rPr>
          <w:rFonts w:hint="eastAsia"/>
        </w:rPr>
        <w:t xml:space="preserve">・広告誘引先のランディングページ（以下、LP）を、「Discover </w:t>
      </w:r>
      <w:r>
        <w:t>SENDAI</w:t>
      </w:r>
      <w:r>
        <w:rPr>
          <w:rFonts w:hint="eastAsia"/>
        </w:rPr>
        <w:t>」（</w:t>
      </w:r>
      <w:hyperlink r:id="rId9" w:history="1">
        <w:r w:rsidRPr="00417F58">
          <w:rPr>
            <w:rStyle w:val="a6"/>
          </w:rPr>
          <w:t>https://discoversendai.travel/</w:t>
        </w:r>
      </w:hyperlink>
      <w:r>
        <w:rPr>
          <w:rFonts w:hint="eastAsia"/>
        </w:rPr>
        <w:t>）内に</w:t>
      </w:r>
      <w:r w:rsidR="003C48DA">
        <w:rPr>
          <w:rFonts w:hint="eastAsia"/>
        </w:rPr>
        <w:t>英語及び繁体字</w:t>
      </w:r>
      <w:r>
        <w:rPr>
          <w:rFonts w:hint="eastAsia"/>
        </w:rPr>
        <w:t>で作成すること。</w:t>
      </w:r>
    </w:p>
    <w:p w:rsidR="008B7032" w:rsidRDefault="008B7032" w:rsidP="008B7032">
      <w:pPr>
        <w:ind w:leftChars="100" w:left="422" w:hangingChars="101" w:hanging="212"/>
      </w:pPr>
      <w:r>
        <w:rPr>
          <w:rFonts w:hint="eastAsia"/>
        </w:rPr>
        <w:t>・広告及びLPは、キャンペーン情報や観光情報等を効果的かつ効率的に伝えることができるデザイン、内容とすること。</w:t>
      </w:r>
      <w:r w:rsidR="008D0F8B">
        <w:rPr>
          <w:rFonts w:hint="eastAsia"/>
        </w:rPr>
        <w:t>観光情報は乗車券の使用を考慮した内容とするとともに、</w:t>
      </w:r>
      <w:r>
        <w:rPr>
          <w:rFonts w:hint="eastAsia"/>
        </w:rPr>
        <w:t>時期やターゲット、訴求テーマにより内容の更新を適宜行うこと。</w:t>
      </w:r>
    </w:p>
    <w:p w:rsidR="008B7032" w:rsidRDefault="008B7032" w:rsidP="008B7032">
      <w:pPr>
        <w:ind w:leftChars="100" w:left="422" w:hangingChars="101" w:hanging="212"/>
      </w:pPr>
      <w:r>
        <w:rPr>
          <w:rFonts w:hint="eastAsia"/>
        </w:rPr>
        <w:t>・配信期間を通じて、広告内容、利用媒体、配信対象、配信方法、LPへの誘導状況等を分析しながら、発注者と協議しながらターゲティングの変更、絞り込み等の継続的な改善を図ること。</w:t>
      </w:r>
    </w:p>
    <w:p w:rsidR="008B7032" w:rsidRDefault="008B7032" w:rsidP="008B7032">
      <w:pPr>
        <w:spacing w:after="63" w:line="259" w:lineRule="auto"/>
        <w:ind w:left="0" w:firstLineChars="135" w:firstLine="283"/>
      </w:pPr>
    </w:p>
    <w:p w:rsidR="008B7032" w:rsidRPr="002F3B9D" w:rsidRDefault="008B7032" w:rsidP="008B7032">
      <w:pPr>
        <w:spacing w:after="63" w:line="259" w:lineRule="auto"/>
        <w:ind w:left="0" w:firstLineChars="135" w:firstLine="283"/>
      </w:pPr>
      <w:r>
        <w:rPr>
          <w:rFonts w:hint="eastAsia"/>
        </w:rPr>
        <w:t>②JEPバウチャーへの広告掲載</w:t>
      </w:r>
    </w:p>
    <w:p w:rsidR="008B7032" w:rsidRDefault="008B7032" w:rsidP="008B7032">
      <w:pPr>
        <w:ind w:leftChars="100" w:left="422" w:hangingChars="101" w:hanging="212"/>
      </w:pPr>
      <w:r>
        <w:rPr>
          <w:rFonts w:hint="eastAsia"/>
        </w:rPr>
        <w:t>・JEP予約者に配布される引換券（バウチャー）にJEP購入者への特典配布に関するQRコード付広告の掲載を行うこと。</w:t>
      </w:r>
    </w:p>
    <w:p w:rsidR="008B7032" w:rsidRDefault="008B7032" w:rsidP="008B7032"/>
    <w:p w:rsidR="008B7032" w:rsidRPr="00E41674" w:rsidRDefault="008B7032" w:rsidP="008B7032">
      <w:pPr>
        <w:numPr>
          <w:ilvl w:val="0"/>
          <w:numId w:val="4"/>
        </w:numPr>
        <w:spacing w:after="63" w:line="259" w:lineRule="auto"/>
        <w:ind w:hanging="631"/>
        <w:rPr>
          <w:rFonts w:ascii="ＭＳ ゴシック" w:eastAsia="ＭＳ ゴシック"/>
          <w:b/>
        </w:rPr>
      </w:pPr>
      <w:r w:rsidRPr="00E41674">
        <w:rPr>
          <w:rFonts w:ascii="ＭＳ ゴシック" w:eastAsia="ＭＳ ゴシック" w:hint="eastAsia"/>
          <w:b/>
        </w:rPr>
        <w:t>旅ナカプロモーションの実施</w:t>
      </w:r>
    </w:p>
    <w:p w:rsidR="008B7032" w:rsidRDefault="008B7032" w:rsidP="008B7032">
      <w:pPr>
        <w:spacing w:after="63" w:line="259" w:lineRule="auto"/>
        <w:ind w:left="0" w:firstLineChars="135" w:firstLine="283"/>
      </w:pPr>
      <w:r>
        <w:rPr>
          <w:rFonts w:hint="eastAsia"/>
        </w:rPr>
        <w:t>①首都圏交通拠点における広告の実施</w:t>
      </w:r>
    </w:p>
    <w:p w:rsidR="008B7032" w:rsidRDefault="008B7032" w:rsidP="008B7032">
      <w:pPr>
        <w:ind w:leftChars="100" w:left="422" w:hangingChars="101" w:hanging="212"/>
      </w:pPr>
      <w:r>
        <w:rPr>
          <w:rFonts w:hint="eastAsia"/>
        </w:rPr>
        <w:t>・首都圏の空港や主要駅において、JEP購入または引換を行うインバウンドを対象として、JEP購入者への特典配布及び仙台・東北の観光の魅力を訴求する効果的・効率的な広告手法を選定し、実施すること。</w:t>
      </w:r>
    </w:p>
    <w:p w:rsidR="008B7032" w:rsidRPr="00883AD8" w:rsidRDefault="008B7032" w:rsidP="008B7032">
      <w:pPr>
        <w:spacing w:after="63" w:line="259" w:lineRule="auto"/>
        <w:ind w:left="0" w:firstLineChars="135" w:firstLine="283"/>
      </w:pPr>
      <w:r>
        <w:rPr>
          <w:rFonts w:hint="eastAsia"/>
        </w:rPr>
        <w:t>②特典配布場所の周知</w:t>
      </w:r>
    </w:p>
    <w:p w:rsidR="008B7032" w:rsidRDefault="008B7032" w:rsidP="008B7032">
      <w:pPr>
        <w:ind w:leftChars="100" w:left="422" w:hangingChars="101" w:hanging="212"/>
      </w:pPr>
      <w:r>
        <w:rPr>
          <w:rFonts w:hint="eastAsia"/>
        </w:rPr>
        <w:t>・仙台市内において、JEP購入者に特典配布場所を周知するための効果的な手法を選定し、実施すること。周知を実施する場所として、</w:t>
      </w:r>
      <w:r w:rsidR="008D0F8B">
        <w:rPr>
          <w:rFonts w:hint="eastAsia"/>
        </w:rPr>
        <w:t>仙台駅、</w:t>
      </w:r>
      <w:r>
        <w:rPr>
          <w:rFonts w:hint="eastAsia"/>
        </w:rPr>
        <w:t>市内宿泊施設等を想定する。</w:t>
      </w:r>
    </w:p>
    <w:p w:rsidR="008B7032" w:rsidRPr="006C7727" w:rsidRDefault="008B7032" w:rsidP="008B7032">
      <w:pPr>
        <w:ind w:leftChars="100" w:left="422" w:hangingChars="101" w:hanging="212"/>
      </w:pPr>
    </w:p>
    <w:p w:rsidR="008B7032" w:rsidRPr="00E41674" w:rsidRDefault="008B7032" w:rsidP="008B7032">
      <w:pPr>
        <w:numPr>
          <w:ilvl w:val="0"/>
          <w:numId w:val="4"/>
        </w:numPr>
        <w:spacing w:after="63" w:line="259" w:lineRule="auto"/>
        <w:ind w:hanging="631"/>
        <w:rPr>
          <w:rFonts w:ascii="ＭＳ ゴシック" w:eastAsia="ＭＳ ゴシック"/>
          <w:b/>
        </w:rPr>
      </w:pPr>
      <w:r w:rsidRPr="00E41674">
        <w:rPr>
          <w:rFonts w:ascii="ＭＳ ゴシック" w:eastAsia="ＭＳ ゴシック" w:hint="eastAsia"/>
          <w:b/>
        </w:rPr>
        <w:t>事業の進捗確認及び効果評価・検証</w:t>
      </w:r>
    </w:p>
    <w:p w:rsidR="008B7032" w:rsidRDefault="008B7032" w:rsidP="008B7032">
      <w:pPr>
        <w:ind w:leftChars="100" w:left="422" w:hangingChars="101" w:hanging="212"/>
      </w:pPr>
      <w:r w:rsidRPr="008B7032">
        <w:rPr>
          <w:rFonts w:hint="eastAsia"/>
        </w:rPr>
        <w:t>・事業開始時、事業の年間スケジュール（事業計画書）を作成し提出すること。</w:t>
      </w:r>
    </w:p>
    <w:p w:rsidR="00997AAF" w:rsidRDefault="00997AAF" w:rsidP="00997AAF">
      <w:pPr>
        <w:ind w:leftChars="100" w:left="422" w:hangingChars="101" w:hanging="212"/>
      </w:pPr>
      <w:r>
        <w:rPr>
          <w:rFonts w:hint="eastAsia"/>
        </w:rPr>
        <w:t>・本事業の仕様や進捗状況（</w:t>
      </w:r>
      <w:r w:rsidR="005A5DB8">
        <w:rPr>
          <w:rFonts w:hint="eastAsia"/>
        </w:rPr>
        <w:t>広告掲載状況や特典配布状況</w:t>
      </w:r>
      <w:r>
        <w:rPr>
          <w:rFonts w:hint="eastAsia"/>
        </w:rPr>
        <w:t>等）の確認のため、本業務の履行期間内は、最低でも１か月ごとに本市にて打ち合わせを行い、実施後速やかに議事録を提出すること。また、業務の進捗報告を月に２回以上行うこと（進捗報告はメール等を含む書面で行うこと）。</w:t>
      </w:r>
    </w:p>
    <w:p w:rsidR="00997AAF" w:rsidRDefault="00997AAF" w:rsidP="00997AAF">
      <w:pPr>
        <w:ind w:leftChars="100" w:left="422" w:hangingChars="101" w:hanging="212"/>
      </w:pPr>
      <w:r>
        <w:rPr>
          <w:rFonts w:hint="eastAsia"/>
        </w:rPr>
        <w:t>・本事業の効果を評価・検証し、課題とニーズを把握すること。</w:t>
      </w:r>
    </w:p>
    <w:p w:rsidR="00997AAF" w:rsidRDefault="00997AAF" w:rsidP="00997AAF">
      <w:pPr>
        <w:ind w:leftChars="100" w:left="422" w:hangingChars="101" w:hanging="212"/>
      </w:pPr>
      <w:r>
        <w:rPr>
          <w:rFonts w:hint="eastAsia"/>
        </w:rPr>
        <w:lastRenderedPageBreak/>
        <w:t>・</w:t>
      </w:r>
      <w:r>
        <w:t xml:space="preserve">本事業の効果検証及び分析を行うにあたり、適切に事業効果を把握できるKPIを設定すること。また、その設定根拠を示すこと。 </w:t>
      </w:r>
    </w:p>
    <w:p w:rsidR="008B7032" w:rsidRDefault="008B7032" w:rsidP="008B7032">
      <w:pPr>
        <w:ind w:leftChars="100" w:left="422" w:hangingChars="101" w:hanging="212"/>
      </w:pPr>
      <w:r>
        <w:rPr>
          <w:rFonts w:hint="eastAsia"/>
        </w:rPr>
        <w:t>・</w:t>
      </w:r>
      <w:r>
        <w:tab/>
      </w:r>
      <w:r w:rsidR="003C48DA">
        <w:rPr>
          <w:rFonts w:hint="eastAsia"/>
        </w:rPr>
        <w:t>インバウンド向け</w:t>
      </w:r>
      <w:r>
        <w:t>事業効果の把握方法の一つとして、アンケート調査を実施することとし、必要に応じて、ギブアウェイを</w:t>
      </w:r>
      <w:r>
        <w:rPr>
          <w:rFonts w:hint="eastAsia"/>
        </w:rPr>
        <w:t>準備</w:t>
      </w:r>
      <w:r>
        <w:t xml:space="preserve">すること。 </w:t>
      </w:r>
    </w:p>
    <w:p w:rsidR="003C48DA" w:rsidRDefault="003C48DA" w:rsidP="008B7032">
      <w:pPr>
        <w:ind w:leftChars="100" w:left="422" w:hangingChars="101" w:hanging="212"/>
      </w:pPr>
      <w:r>
        <w:rPr>
          <w:rFonts w:hint="eastAsia"/>
        </w:rPr>
        <w:t>・旅コレ事業者向け事業効果の把握方法として、事業実施後にアンケート調査を実施すること</w:t>
      </w:r>
    </w:p>
    <w:p w:rsidR="00F21F92" w:rsidRPr="006703CF" w:rsidRDefault="008B7032" w:rsidP="006703CF">
      <w:pPr>
        <w:ind w:leftChars="100" w:left="422" w:hangingChars="101" w:hanging="212"/>
      </w:pPr>
      <w:r>
        <w:rPr>
          <w:rFonts w:hint="eastAsia"/>
        </w:rPr>
        <w:t>・</w:t>
      </w:r>
      <w:r>
        <w:tab/>
        <w:t xml:space="preserve">本事業を総括し、今後の情報の発信についての戦略の提案を行うこと。 </w:t>
      </w:r>
    </w:p>
    <w:tbl>
      <w:tblPr>
        <w:tblStyle w:val="aa"/>
        <w:tblW w:w="0" w:type="auto"/>
        <w:tblLook w:val="04A0" w:firstRow="1" w:lastRow="0" w:firstColumn="1" w:lastColumn="0" w:noHBand="0" w:noVBand="1"/>
      </w:tblPr>
      <w:tblGrid>
        <w:gridCol w:w="8449"/>
      </w:tblGrid>
      <w:tr w:rsidR="008B7032" w:rsidTr="006703CF">
        <w:trPr>
          <w:trHeight w:val="10502"/>
        </w:trPr>
        <w:tc>
          <w:tcPr>
            <w:tcW w:w="8449" w:type="dxa"/>
          </w:tcPr>
          <w:p w:rsidR="008B7032" w:rsidRPr="008B7032" w:rsidRDefault="008B7032" w:rsidP="008B7032">
            <w:pPr>
              <w:spacing w:after="63" w:line="259" w:lineRule="auto"/>
              <w:ind w:left="0" w:firstLine="0"/>
              <w:rPr>
                <w:rFonts w:ascii="ＭＳ ゴシック" w:eastAsia="ＭＳ ゴシック" w:hAnsi="ＭＳ ゴシック"/>
                <w:b/>
              </w:rPr>
            </w:pPr>
            <w:r>
              <w:lastRenderedPageBreak/>
              <w:br w:type="page"/>
            </w:r>
            <w:r w:rsidRPr="008B7032">
              <w:rPr>
                <w:rFonts w:ascii="ＭＳ ゴシック" w:eastAsia="ＭＳ ゴシック" w:hAnsi="ＭＳ ゴシック"/>
                <w:b/>
              </w:rPr>
              <w:t xml:space="preserve">その他留意事項 </w:t>
            </w:r>
          </w:p>
          <w:p w:rsidR="008B7032" w:rsidRDefault="008B7032" w:rsidP="008B7032">
            <w:pPr>
              <w:ind w:leftChars="-1" w:left="174" w:hangingChars="84" w:hanging="176"/>
            </w:pPr>
            <w:r>
              <w:rPr>
                <w:rFonts w:hint="eastAsia"/>
              </w:rPr>
              <w:t>・</w:t>
            </w:r>
            <w:r w:rsidRPr="001928EE">
              <w:t>多言語での記事制作や情報発信</w:t>
            </w:r>
            <w:r>
              <w:rPr>
                <w:rFonts w:hint="eastAsia"/>
              </w:rPr>
              <w:t>、印刷物の作成</w:t>
            </w:r>
            <w:r w:rsidRPr="001928EE">
              <w:t>にあたっては</w:t>
            </w:r>
            <w:r>
              <w:t>、</w:t>
            </w:r>
            <w:r w:rsidRPr="001928EE">
              <w:t>観光分野に精通したネイティブライターによる執筆することとし</w:t>
            </w:r>
            <w:r>
              <w:t>、</w:t>
            </w:r>
            <w:r w:rsidRPr="001928EE">
              <w:t>ネイティブチェック及び校正等の原稿作成の体制を明確にし</w:t>
            </w:r>
            <w:r>
              <w:t>、</w:t>
            </w:r>
            <w:r w:rsidRPr="001928EE">
              <w:t>誤字・脱字をなくすとともに</w:t>
            </w:r>
            <w:r>
              <w:t>、</w:t>
            </w:r>
            <w:r w:rsidRPr="001928EE">
              <w:t>単なる逐語訳でなく現地で違和感のない内容</w:t>
            </w:r>
            <w:r>
              <w:rPr>
                <w:rFonts w:hint="eastAsia"/>
              </w:rPr>
              <w:t>となるよう</w:t>
            </w:r>
            <w:r w:rsidRPr="001928EE">
              <w:t>体制を構築すること。</w:t>
            </w:r>
          </w:p>
          <w:p w:rsidR="008B7032" w:rsidRPr="001928EE" w:rsidRDefault="008B7032" w:rsidP="008B7032">
            <w:pPr>
              <w:ind w:leftChars="-1" w:left="174" w:hangingChars="84" w:hanging="176"/>
            </w:pPr>
            <w:r>
              <w:rPr>
                <w:rFonts w:hint="eastAsia"/>
              </w:rPr>
              <w:t>・</w:t>
            </w:r>
            <w:r w:rsidRPr="001928EE">
              <w:t>本事業において</w:t>
            </w:r>
            <w:r>
              <w:t>、</w:t>
            </w:r>
            <w:r w:rsidRPr="001928EE">
              <w:t>デジタル</w:t>
            </w:r>
            <w:r>
              <w:rPr>
                <w:rFonts w:hint="eastAsia"/>
              </w:rPr>
              <w:t>広告</w:t>
            </w:r>
            <w:r w:rsidRPr="001928EE">
              <w:t>を実施する際には</w:t>
            </w:r>
            <w:r>
              <w:t>、</w:t>
            </w:r>
            <w:r w:rsidRPr="001928EE">
              <w:t xml:space="preserve">次の事項について留意すること。 </w:t>
            </w:r>
          </w:p>
          <w:p w:rsidR="008B7032" w:rsidRPr="001928EE" w:rsidRDefault="008B7032" w:rsidP="008B7032">
            <w:pPr>
              <w:numPr>
                <w:ilvl w:val="2"/>
                <w:numId w:val="3"/>
              </w:numPr>
              <w:ind w:left="381" w:hanging="348"/>
            </w:pPr>
            <w:r w:rsidRPr="001928EE">
              <w:t>欧州経済領域（EEA）域内から域外へ個人データの移転を行う場合は</w:t>
            </w:r>
            <w:r>
              <w:t>、</w:t>
            </w:r>
            <w:r w:rsidRPr="001928EE">
              <w:t>必要に応じて</w:t>
            </w:r>
            <w:r>
              <w:t>、</w:t>
            </w:r>
            <w:r w:rsidRPr="001928EE">
              <w:t>EU一般データ保護規則（GDPR：General Data Protection Regulation）コンプライアンスへの対応を受注者において検討の上</w:t>
            </w:r>
            <w:r>
              <w:t>、</w:t>
            </w:r>
            <w:r w:rsidRPr="001928EE">
              <w:t xml:space="preserve">対策を行うこと。 </w:t>
            </w:r>
          </w:p>
          <w:p w:rsidR="008B7032" w:rsidRPr="001928EE" w:rsidRDefault="008B7032" w:rsidP="008B7032">
            <w:pPr>
              <w:numPr>
                <w:ilvl w:val="2"/>
                <w:numId w:val="3"/>
              </w:numPr>
              <w:ind w:left="175" w:hanging="142"/>
            </w:pPr>
            <w:r w:rsidRPr="001928EE">
              <w:t>適正なデジタル</w:t>
            </w:r>
            <w:r>
              <w:rPr>
                <w:rFonts w:hint="eastAsia"/>
              </w:rPr>
              <w:t>広告</w:t>
            </w:r>
            <w:r w:rsidRPr="001928EE">
              <w:t xml:space="preserve">の実施 </w:t>
            </w:r>
          </w:p>
          <w:p w:rsidR="008B7032" w:rsidRPr="001928EE" w:rsidRDefault="008B7032" w:rsidP="008B7032">
            <w:pPr>
              <w:numPr>
                <w:ilvl w:val="3"/>
                <w:numId w:val="10"/>
              </w:numPr>
            </w:pPr>
            <w:r w:rsidRPr="001928EE">
              <w:t>広告価値毀損「アドフラウド」</w:t>
            </w:r>
            <w:r>
              <w:t>、</w:t>
            </w:r>
            <w:r w:rsidRPr="001928EE">
              <w:t>「ブランドセーフティ」及び「ビューアビリティ」等について</w:t>
            </w:r>
            <w:r>
              <w:t>、</w:t>
            </w:r>
            <w:r w:rsidRPr="001928EE">
              <w:t>発注者の信用失墜やブランド毀損となる広告掲載は行わない等</w:t>
            </w:r>
            <w:r>
              <w:t>、</w:t>
            </w:r>
            <w:r w:rsidRPr="001928EE">
              <w:t>可能な限り発注者への透明性を確保の上</w:t>
            </w:r>
            <w:r>
              <w:t>、</w:t>
            </w:r>
            <w:r w:rsidRPr="001928EE">
              <w:t>確実な対策を実施すること。</w:t>
            </w:r>
          </w:p>
          <w:p w:rsidR="008B7032" w:rsidRPr="001928EE" w:rsidRDefault="008B7032" w:rsidP="008B7032">
            <w:pPr>
              <w:numPr>
                <w:ilvl w:val="3"/>
                <w:numId w:val="10"/>
              </w:numPr>
            </w:pPr>
            <w:r w:rsidRPr="001928EE">
              <w:t>広告からの計測を行うため</w:t>
            </w:r>
            <w:r>
              <w:t>、</w:t>
            </w:r>
            <w:r w:rsidRPr="001928EE">
              <w:t xml:space="preserve">広告のリンク先URLにパラメータ等を設定してリマーケティングリストを蓄積すること。 </w:t>
            </w:r>
          </w:p>
          <w:p w:rsidR="008B7032" w:rsidRDefault="008B7032" w:rsidP="008B7032">
            <w:pPr>
              <w:numPr>
                <w:ilvl w:val="2"/>
                <w:numId w:val="3"/>
              </w:numPr>
              <w:ind w:left="175" w:hanging="142"/>
            </w:pPr>
            <w:r>
              <w:t>Facebook 広告を利用する場合</w:t>
            </w:r>
          </w:p>
          <w:p w:rsidR="008B7032" w:rsidRDefault="008B7032" w:rsidP="008B7032">
            <w:pPr>
              <w:numPr>
                <w:ilvl w:val="0"/>
                <w:numId w:val="14"/>
              </w:numPr>
            </w:pPr>
            <w:r>
              <w:t xml:space="preserve"> Facebook 広告を展開する場合は、発注者に対してアナリスト権限を付与する</w:t>
            </w:r>
            <w:r>
              <w:rPr>
                <w:rFonts w:hint="eastAsia"/>
              </w:rPr>
              <w:t>こと。</w:t>
            </w:r>
          </w:p>
          <w:p w:rsidR="008B7032" w:rsidRDefault="008B7032" w:rsidP="008B7032">
            <w:pPr>
              <w:numPr>
                <w:ilvl w:val="0"/>
                <w:numId w:val="14"/>
              </w:numPr>
            </w:pPr>
            <w:r>
              <w:t xml:space="preserve"> サイト訪問者に対する Facebook リターゲティング設定を行うこと。</w:t>
            </w:r>
          </w:p>
          <w:p w:rsidR="008B7032" w:rsidRDefault="008B7032" w:rsidP="008B7032">
            <w:pPr>
              <w:numPr>
                <w:ilvl w:val="0"/>
                <w:numId w:val="14"/>
              </w:numPr>
            </w:pPr>
            <w:r>
              <w:t xml:space="preserve"> Facebook が提供する無料調査が利用できる場合は、発注者と調査項目等を協</w:t>
            </w:r>
            <w:r>
              <w:rPr>
                <w:rFonts w:hint="eastAsia"/>
              </w:rPr>
              <w:t>議の上で、必要に応じて調査を行うこと。</w:t>
            </w:r>
          </w:p>
          <w:p w:rsidR="008B7032" w:rsidRPr="002B2BAA" w:rsidRDefault="008B7032" w:rsidP="008B7032">
            <w:pPr>
              <w:numPr>
                <w:ilvl w:val="2"/>
                <w:numId w:val="3"/>
              </w:numPr>
              <w:ind w:left="175" w:hanging="142"/>
            </w:pPr>
            <w:r w:rsidRPr="008B7032">
              <w:t>Google</w:t>
            </w:r>
            <w:r w:rsidRPr="008B7032">
              <w:rPr>
                <w:rFonts w:hint="eastAsia"/>
              </w:rPr>
              <w:t>広告を利用する場合</w:t>
            </w:r>
          </w:p>
          <w:p w:rsidR="008B7032" w:rsidRDefault="008B7032" w:rsidP="008B7032">
            <w:pPr>
              <w:numPr>
                <w:ilvl w:val="0"/>
                <w:numId w:val="15"/>
              </w:numPr>
            </w:pPr>
            <w:r>
              <w:t xml:space="preserve"> Google 広告を運用する場合は、受託者の広告アカウントと Google</w:t>
            </w:r>
            <w:r>
              <w:rPr>
                <w:rFonts w:hint="eastAsia"/>
              </w:rPr>
              <w:t xml:space="preserve">　</w:t>
            </w:r>
            <w:r>
              <w:t>Analytics を連携すること。</w:t>
            </w:r>
          </w:p>
          <w:p w:rsidR="008B7032" w:rsidRDefault="008B7032" w:rsidP="008B7032">
            <w:pPr>
              <w:numPr>
                <w:ilvl w:val="0"/>
                <w:numId w:val="15"/>
              </w:numPr>
            </w:pPr>
            <w:r>
              <w:t xml:space="preserve"> 効果的と考えられるリマーケティングタグ、リマーケティングリストを設定</w:t>
            </w:r>
            <w:r>
              <w:rPr>
                <w:rFonts w:hint="eastAsia"/>
              </w:rPr>
              <w:t>し、共有すること。</w:t>
            </w:r>
          </w:p>
          <w:p w:rsidR="008B7032" w:rsidRDefault="008B7032" w:rsidP="008B7032">
            <w:pPr>
              <w:numPr>
                <w:ilvl w:val="0"/>
                <w:numId w:val="15"/>
              </w:numPr>
            </w:pPr>
            <w:r>
              <w:t xml:space="preserve"> Google が提供する無料調査が利用できる場合は、発注者と調査項目等を協議</w:t>
            </w:r>
            <w:r>
              <w:rPr>
                <w:rFonts w:hint="eastAsia"/>
              </w:rPr>
              <w:t>の上で、必要に応じて調査を行うこと。</w:t>
            </w:r>
          </w:p>
          <w:p w:rsidR="008B7032" w:rsidRPr="001928EE" w:rsidRDefault="008B7032" w:rsidP="008B7032">
            <w:pPr>
              <w:numPr>
                <w:ilvl w:val="2"/>
                <w:numId w:val="3"/>
              </w:numPr>
              <w:ind w:left="175" w:hanging="142"/>
            </w:pPr>
            <w:r w:rsidRPr="001928EE">
              <w:t>YouTube広告を利用する場合</w:t>
            </w:r>
          </w:p>
          <w:p w:rsidR="008B7032" w:rsidRPr="001928EE" w:rsidRDefault="008B7032" w:rsidP="008B7032">
            <w:pPr>
              <w:numPr>
                <w:ilvl w:val="0"/>
                <w:numId w:val="15"/>
              </w:numPr>
            </w:pPr>
            <w:r w:rsidRPr="001928EE">
              <w:t xml:space="preserve">動画視聴者のアクセス情報を蓄積すること。 </w:t>
            </w:r>
          </w:p>
          <w:p w:rsidR="008B7032" w:rsidRPr="001928EE" w:rsidRDefault="008B7032" w:rsidP="008B7032">
            <w:pPr>
              <w:numPr>
                <w:ilvl w:val="0"/>
                <w:numId w:val="15"/>
              </w:numPr>
            </w:pPr>
            <w:r w:rsidRPr="001928EE">
              <w:t>動画視聴に関するデータや効果的な広告手法を利用するために</w:t>
            </w:r>
            <w:r>
              <w:t>、</w:t>
            </w:r>
            <w:r w:rsidRPr="001928EE">
              <w:t xml:space="preserve">YouTubeチャンネルと受託者のGoogle広告アカウントをリンクさせること。 </w:t>
            </w:r>
          </w:p>
          <w:p w:rsidR="008B7032" w:rsidRPr="001928EE" w:rsidRDefault="008B7032" w:rsidP="008B7032">
            <w:pPr>
              <w:numPr>
                <w:ilvl w:val="2"/>
                <w:numId w:val="3"/>
              </w:numPr>
              <w:ind w:left="381" w:hanging="348"/>
            </w:pPr>
            <w:r>
              <w:rPr>
                <w:szCs w:val="21"/>
              </w:rPr>
              <w:t>Facebook</w:t>
            </w:r>
            <w:r>
              <w:rPr>
                <w:rFonts w:hint="eastAsia"/>
                <w:szCs w:val="21"/>
              </w:rPr>
              <w:t>又は</w:t>
            </w:r>
            <w:r>
              <w:rPr>
                <w:szCs w:val="21"/>
              </w:rPr>
              <w:t>Google</w:t>
            </w:r>
            <w:r>
              <w:rPr>
                <w:rFonts w:hint="eastAsia"/>
                <w:szCs w:val="21"/>
              </w:rPr>
              <w:t>広告以外の</w:t>
            </w:r>
            <w:r w:rsidRPr="001928EE">
              <w:t xml:space="preserve">その他広告媒体を利用する場合においても原則として同様の対応を行うこと。 </w:t>
            </w:r>
          </w:p>
          <w:p w:rsidR="008B7032" w:rsidRPr="001928EE" w:rsidRDefault="008B7032" w:rsidP="00F21F92">
            <w:pPr>
              <w:numPr>
                <w:ilvl w:val="2"/>
                <w:numId w:val="3"/>
              </w:numPr>
              <w:ind w:left="381" w:hanging="348"/>
            </w:pPr>
            <w:r w:rsidRPr="001928EE">
              <w:t>各種アカウント作成及び設定時には</w:t>
            </w:r>
            <w:r>
              <w:t>、</w:t>
            </w:r>
            <w:r w:rsidRPr="001928EE">
              <w:t>内容について発注者の承認を得ること。また</w:t>
            </w:r>
            <w:r>
              <w:t>、</w:t>
            </w:r>
            <w:r w:rsidRPr="001928EE">
              <w:t>当該アカウントについては事業完了後に一切の権利を発注者に譲渡すること。</w:t>
            </w:r>
            <w:r w:rsidR="00F21F92">
              <w:br/>
            </w:r>
          </w:p>
          <w:p w:rsidR="008B7032" w:rsidRPr="008B7032" w:rsidRDefault="008B7032" w:rsidP="006703CF">
            <w:pPr>
              <w:ind w:leftChars="-1" w:left="174" w:hangingChars="84" w:hanging="176"/>
            </w:pPr>
            <w:r>
              <w:rPr>
                <w:rFonts w:hint="eastAsia"/>
              </w:rPr>
              <w:t>・</w:t>
            </w:r>
            <w:r w:rsidRPr="001928EE">
              <w:t>本事業において</w:t>
            </w:r>
            <w:r>
              <w:t>、</w:t>
            </w:r>
            <w:r w:rsidRPr="001928EE">
              <w:t>効果測定が実施できないような事業提案は行わないこと。</w:t>
            </w:r>
          </w:p>
        </w:tc>
      </w:tr>
    </w:tbl>
    <w:p w:rsidR="003919A8" w:rsidRDefault="003919A8">
      <w:pPr>
        <w:rPr>
          <w:rFonts w:ascii="ＭＳ ゴシック" w:eastAsia="ＭＳ ゴシック" w:hAnsi="ＭＳ ゴシック" w:cs="ＭＳ ゴシック"/>
        </w:rPr>
      </w:pPr>
      <w:r>
        <w:rPr>
          <w:rFonts w:ascii="ＭＳ ゴシック" w:eastAsia="ＭＳ ゴシック" w:hAnsi="ＭＳ ゴシック" w:cs="ＭＳ ゴシック"/>
        </w:rPr>
        <w:br w:type="page"/>
      </w:r>
    </w:p>
    <w:p w:rsidR="003919A8" w:rsidRPr="003C4C89" w:rsidRDefault="003919A8" w:rsidP="003C4C89">
      <w:pPr>
        <w:numPr>
          <w:ilvl w:val="0"/>
          <w:numId w:val="1"/>
        </w:numPr>
        <w:spacing w:after="63" w:line="259" w:lineRule="auto"/>
        <w:ind w:hanging="422"/>
        <w:rPr>
          <w:rFonts w:ascii="ＭＳ ゴシック" w:eastAsia="ＭＳ ゴシック" w:hAnsi="ＭＳ ゴシック" w:cs="ＭＳ ゴシック"/>
          <w:b/>
        </w:rPr>
      </w:pPr>
      <w:r w:rsidRPr="003C4C89">
        <w:rPr>
          <w:rFonts w:ascii="ＭＳ ゴシック" w:eastAsia="ＭＳ ゴシック" w:hAnsi="ＭＳ ゴシック" w:cs="ＭＳ ゴシック" w:hint="eastAsia"/>
          <w:b/>
        </w:rPr>
        <w:lastRenderedPageBreak/>
        <w:t>指標について</w:t>
      </w:r>
    </w:p>
    <w:tbl>
      <w:tblPr>
        <w:tblStyle w:val="aa"/>
        <w:tblW w:w="8500" w:type="dxa"/>
        <w:tblLook w:val="04A0" w:firstRow="1" w:lastRow="0" w:firstColumn="1" w:lastColumn="0" w:noHBand="0" w:noVBand="1"/>
      </w:tblPr>
      <w:tblGrid>
        <w:gridCol w:w="1696"/>
        <w:gridCol w:w="2451"/>
        <w:gridCol w:w="992"/>
        <w:gridCol w:w="2369"/>
        <w:gridCol w:w="992"/>
      </w:tblGrid>
      <w:tr w:rsidR="003919A8" w:rsidRPr="00824700" w:rsidTr="009B6638">
        <w:trPr>
          <w:trHeight w:val="343"/>
        </w:trPr>
        <w:tc>
          <w:tcPr>
            <w:tcW w:w="1696" w:type="dxa"/>
            <w:tcBorders>
              <w:right w:val="single" w:sz="4" w:space="0" w:color="auto"/>
            </w:tcBorders>
            <w:vAlign w:val="center"/>
          </w:tcPr>
          <w:p w:rsidR="003919A8" w:rsidRPr="00907FDE" w:rsidRDefault="003919A8" w:rsidP="004F0CAF">
            <w:pPr>
              <w:rPr>
                <w:rFonts w:asciiTheme="minorEastAsia" w:hAnsiTheme="minorEastAsia"/>
              </w:rPr>
            </w:pPr>
          </w:p>
        </w:tc>
        <w:tc>
          <w:tcPr>
            <w:tcW w:w="3443" w:type="dxa"/>
            <w:gridSpan w:val="2"/>
            <w:tcBorders>
              <w:left w:val="single" w:sz="4" w:space="0" w:color="auto"/>
              <w:right w:val="single" w:sz="4" w:space="0" w:color="auto"/>
            </w:tcBorders>
            <w:shd w:val="clear" w:color="auto" w:fill="auto"/>
            <w:vAlign w:val="center"/>
          </w:tcPr>
          <w:p w:rsidR="003919A8" w:rsidRPr="003919A8" w:rsidRDefault="003919A8" w:rsidP="003919A8">
            <w:pPr>
              <w:ind w:left="0" w:firstLine="0"/>
              <w:jc w:val="center"/>
              <w:rPr>
                <w:kern w:val="0"/>
              </w:rPr>
            </w:pPr>
            <w:r w:rsidRPr="003919A8">
              <w:rPr>
                <w:kern w:val="0"/>
              </w:rPr>
              <w:t>考慮する目標数値</w:t>
            </w:r>
          </w:p>
          <w:p w:rsidR="003919A8" w:rsidRPr="003919A8" w:rsidRDefault="003919A8" w:rsidP="003919A8">
            <w:pPr>
              <w:ind w:left="0" w:firstLine="0"/>
              <w:jc w:val="center"/>
              <w:rPr>
                <w:kern w:val="0"/>
              </w:rPr>
            </w:pPr>
            <w:r w:rsidRPr="003919A8">
              <w:rPr>
                <w:rFonts w:hint="eastAsia"/>
                <w:kern w:val="0"/>
              </w:rPr>
              <w:t>（アウトプット）</w:t>
            </w:r>
          </w:p>
        </w:tc>
        <w:tc>
          <w:tcPr>
            <w:tcW w:w="3361" w:type="dxa"/>
            <w:gridSpan w:val="2"/>
            <w:tcBorders>
              <w:left w:val="single" w:sz="4" w:space="0" w:color="auto"/>
            </w:tcBorders>
            <w:shd w:val="clear" w:color="auto" w:fill="auto"/>
            <w:vAlign w:val="center"/>
          </w:tcPr>
          <w:p w:rsidR="003919A8" w:rsidRPr="003919A8" w:rsidRDefault="003919A8" w:rsidP="003919A8">
            <w:pPr>
              <w:ind w:left="0" w:firstLine="0"/>
              <w:jc w:val="center"/>
              <w:rPr>
                <w:kern w:val="0"/>
              </w:rPr>
            </w:pPr>
            <w:r w:rsidRPr="003919A8">
              <w:rPr>
                <w:kern w:val="0"/>
              </w:rPr>
              <w:t>目指す効果目標</w:t>
            </w:r>
          </w:p>
          <w:p w:rsidR="003919A8" w:rsidRPr="003919A8" w:rsidRDefault="003919A8" w:rsidP="003919A8">
            <w:pPr>
              <w:ind w:left="0" w:firstLine="0"/>
              <w:jc w:val="center"/>
              <w:rPr>
                <w:kern w:val="0"/>
              </w:rPr>
            </w:pPr>
            <w:r w:rsidRPr="003919A8">
              <w:rPr>
                <w:rFonts w:hint="eastAsia"/>
                <w:kern w:val="0"/>
              </w:rPr>
              <w:t>（アウトカム）</w:t>
            </w:r>
          </w:p>
        </w:tc>
      </w:tr>
      <w:tr w:rsidR="00F425B2" w:rsidRPr="00824700" w:rsidTr="009B6638">
        <w:tc>
          <w:tcPr>
            <w:tcW w:w="1696" w:type="dxa"/>
            <w:vMerge w:val="restart"/>
            <w:tcBorders>
              <w:right w:val="single" w:sz="4" w:space="0" w:color="auto"/>
            </w:tcBorders>
          </w:tcPr>
          <w:p w:rsidR="00F425B2" w:rsidRPr="00907FDE" w:rsidRDefault="00F425B2" w:rsidP="003919A8">
            <w:pPr>
              <w:ind w:left="0" w:firstLine="0"/>
              <w:rPr>
                <w:rFonts w:asciiTheme="minorEastAsia" w:hAnsiTheme="minorEastAsia"/>
              </w:rPr>
            </w:pPr>
            <w:r w:rsidRPr="00F425B2">
              <w:rPr>
                <w:rFonts w:hint="eastAsia"/>
              </w:rPr>
              <w:t>JEP</w:t>
            </w:r>
            <w:r>
              <w:rPr>
                <w:rFonts w:asciiTheme="minorEastAsia" w:hAnsiTheme="minorEastAsia" w:hint="eastAsia"/>
              </w:rPr>
              <w:t>購入者への特典の配布</w:t>
            </w:r>
          </w:p>
        </w:tc>
        <w:tc>
          <w:tcPr>
            <w:tcW w:w="2451" w:type="dxa"/>
            <w:tcBorders>
              <w:left w:val="single" w:sz="4" w:space="0" w:color="auto"/>
              <w:right w:val="single" w:sz="4" w:space="0" w:color="auto"/>
            </w:tcBorders>
          </w:tcPr>
          <w:p w:rsidR="00F425B2" w:rsidRPr="003919A8" w:rsidRDefault="00F425B2" w:rsidP="003919A8">
            <w:pPr>
              <w:ind w:left="0" w:firstLine="0"/>
              <w:rPr>
                <w:kern w:val="0"/>
              </w:rPr>
            </w:pPr>
            <w:r w:rsidRPr="00F425B2">
              <w:rPr>
                <w:rFonts w:hint="eastAsia"/>
                <w:kern w:val="0"/>
              </w:rPr>
              <w:t>るーぷる仙台・地下鉄共通一日乗車券</w:t>
            </w:r>
            <w:r>
              <w:rPr>
                <w:rFonts w:hint="eastAsia"/>
                <w:kern w:val="0"/>
              </w:rPr>
              <w:t>の配布</w:t>
            </w:r>
          </w:p>
        </w:tc>
        <w:tc>
          <w:tcPr>
            <w:tcW w:w="992" w:type="dxa"/>
            <w:tcBorders>
              <w:left w:val="single" w:sz="4" w:space="0" w:color="auto"/>
              <w:right w:val="single" w:sz="4" w:space="0" w:color="auto"/>
            </w:tcBorders>
          </w:tcPr>
          <w:p w:rsidR="00F425B2" w:rsidRPr="003919A8" w:rsidRDefault="00F425B2" w:rsidP="00F425B2">
            <w:pPr>
              <w:ind w:left="0" w:firstLine="0"/>
              <w:rPr>
                <w:kern w:val="0"/>
              </w:rPr>
            </w:pPr>
            <w:r w:rsidRPr="003919A8">
              <w:rPr>
                <w:rFonts w:hint="eastAsia"/>
                <w:kern w:val="0"/>
              </w:rPr>
              <w:t>10</w:t>
            </w:r>
            <w:r>
              <w:rPr>
                <w:rFonts w:hint="eastAsia"/>
                <w:kern w:val="0"/>
              </w:rPr>
              <w:t>,000枚以上</w:t>
            </w:r>
          </w:p>
        </w:tc>
        <w:tc>
          <w:tcPr>
            <w:tcW w:w="2369" w:type="dxa"/>
            <w:tcBorders>
              <w:left w:val="single" w:sz="4" w:space="0" w:color="auto"/>
              <w:right w:val="single" w:sz="4" w:space="0" w:color="auto"/>
            </w:tcBorders>
          </w:tcPr>
          <w:p w:rsidR="00F425B2" w:rsidRPr="00A67BAB" w:rsidRDefault="00A67BAB" w:rsidP="000D31B8">
            <w:pPr>
              <w:ind w:left="0" w:firstLine="0"/>
              <w:rPr>
                <w:color w:val="auto"/>
                <w:kern w:val="0"/>
              </w:rPr>
            </w:pPr>
            <w:r w:rsidRPr="00A67BAB">
              <w:rPr>
                <w:rFonts w:hint="eastAsia"/>
                <w:color w:val="auto"/>
                <w:kern w:val="0"/>
              </w:rPr>
              <w:t>るーぷる仙台の乗車人数</w:t>
            </w:r>
            <w:r w:rsidR="000D31B8">
              <w:rPr>
                <w:rFonts w:hint="eastAsia"/>
                <w:color w:val="auto"/>
                <w:kern w:val="0"/>
              </w:rPr>
              <w:t>増加数</w:t>
            </w:r>
            <w:r>
              <w:rPr>
                <w:rFonts w:hint="eastAsia"/>
                <w:color w:val="auto"/>
                <w:kern w:val="0"/>
              </w:rPr>
              <w:t>(事業期間内、R5年比較)</w:t>
            </w:r>
          </w:p>
        </w:tc>
        <w:tc>
          <w:tcPr>
            <w:tcW w:w="992" w:type="dxa"/>
            <w:tcBorders>
              <w:left w:val="single" w:sz="4" w:space="0" w:color="auto"/>
            </w:tcBorders>
          </w:tcPr>
          <w:p w:rsidR="00F425B2" w:rsidRPr="00A67BAB" w:rsidRDefault="00A67BAB" w:rsidP="003919A8">
            <w:pPr>
              <w:ind w:left="0" w:firstLine="0"/>
              <w:rPr>
                <w:color w:val="auto"/>
                <w:kern w:val="0"/>
              </w:rPr>
            </w:pPr>
            <w:r w:rsidRPr="00A67BAB">
              <w:rPr>
                <w:rFonts w:hint="eastAsia"/>
                <w:color w:val="auto"/>
                <w:kern w:val="0"/>
              </w:rPr>
              <w:t>10,000人</w:t>
            </w:r>
          </w:p>
        </w:tc>
      </w:tr>
      <w:tr w:rsidR="00F425B2" w:rsidRPr="00824700" w:rsidTr="009B6638">
        <w:tc>
          <w:tcPr>
            <w:tcW w:w="1696" w:type="dxa"/>
            <w:vMerge/>
            <w:tcBorders>
              <w:right w:val="single" w:sz="4" w:space="0" w:color="auto"/>
            </w:tcBorders>
          </w:tcPr>
          <w:p w:rsidR="00F425B2" w:rsidRDefault="00F425B2" w:rsidP="00F425B2">
            <w:pPr>
              <w:ind w:left="0" w:firstLine="0"/>
              <w:rPr>
                <w:kern w:val="0"/>
              </w:rPr>
            </w:pPr>
          </w:p>
        </w:tc>
        <w:tc>
          <w:tcPr>
            <w:tcW w:w="2451" w:type="dxa"/>
            <w:tcBorders>
              <w:left w:val="single" w:sz="4" w:space="0" w:color="auto"/>
              <w:right w:val="single" w:sz="4" w:space="0" w:color="auto"/>
            </w:tcBorders>
          </w:tcPr>
          <w:p w:rsidR="00F425B2" w:rsidRPr="003919A8" w:rsidRDefault="00F425B2" w:rsidP="00F425B2">
            <w:pPr>
              <w:ind w:left="0" w:firstLine="0"/>
              <w:rPr>
                <w:kern w:val="0"/>
              </w:rPr>
            </w:pPr>
            <w:r>
              <w:rPr>
                <w:rFonts w:hint="eastAsia"/>
                <w:kern w:val="0"/>
              </w:rPr>
              <w:t>旅コレクーポンの配布</w:t>
            </w:r>
          </w:p>
        </w:tc>
        <w:tc>
          <w:tcPr>
            <w:tcW w:w="992" w:type="dxa"/>
            <w:tcBorders>
              <w:left w:val="single" w:sz="4" w:space="0" w:color="auto"/>
              <w:right w:val="single" w:sz="4" w:space="0" w:color="auto"/>
            </w:tcBorders>
          </w:tcPr>
          <w:p w:rsidR="00F425B2" w:rsidRPr="003919A8" w:rsidRDefault="00F425B2" w:rsidP="00F425B2">
            <w:pPr>
              <w:ind w:left="0" w:firstLine="0"/>
              <w:rPr>
                <w:kern w:val="0"/>
              </w:rPr>
            </w:pPr>
            <w:r>
              <w:rPr>
                <w:rFonts w:hint="eastAsia"/>
                <w:kern w:val="0"/>
              </w:rPr>
              <w:t>3,000組</w:t>
            </w:r>
          </w:p>
        </w:tc>
        <w:tc>
          <w:tcPr>
            <w:tcW w:w="2369" w:type="dxa"/>
            <w:tcBorders>
              <w:left w:val="single" w:sz="4" w:space="0" w:color="auto"/>
              <w:right w:val="single" w:sz="4" w:space="0" w:color="auto"/>
            </w:tcBorders>
          </w:tcPr>
          <w:p w:rsidR="00A67BAB" w:rsidRDefault="00A67BAB" w:rsidP="009E7969">
            <w:pPr>
              <w:ind w:left="0" w:firstLine="0"/>
              <w:jc w:val="center"/>
              <w:rPr>
                <w:color w:val="auto"/>
                <w:kern w:val="0"/>
              </w:rPr>
            </w:pPr>
            <w:r w:rsidRPr="00A67BAB">
              <w:rPr>
                <w:rFonts w:hint="eastAsia"/>
                <w:color w:val="auto"/>
                <w:kern w:val="0"/>
              </w:rPr>
              <w:t>旅コレクーポンの</w:t>
            </w:r>
          </w:p>
          <w:p w:rsidR="00F425B2" w:rsidRPr="00A67BAB" w:rsidRDefault="00A67BAB" w:rsidP="009E7969">
            <w:pPr>
              <w:ind w:left="0" w:firstLine="0"/>
              <w:jc w:val="center"/>
              <w:rPr>
                <w:color w:val="auto"/>
                <w:kern w:val="0"/>
              </w:rPr>
            </w:pPr>
            <w:r w:rsidRPr="00A67BAB">
              <w:rPr>
                <w:rFonts w:hint="eastAsia"/>
                <w:color w:val="auto"/>
                <w:kern w:val="0"/>
              </w:rPr>
              <w:t>利用率</w:t>
            </w:r>
          </w:p>
        </w:tc>
        <w:tc>
          <w:tcPr>
            <w:tcW w:w="992" w:type="dxa"/>
            <w:tcBorders>
              <w:left w:val="single" w:sz="4" w:space="0" w:color="auto"/>
            </w:tcBorders>
          </w:tcPr>
          <w:p w:rsidR="00F425B2" w:rsidRPr="00A67BAB" w:rsidRDefault="00A67BAB" w:rsidP="00F425B2">
            <w:pPr>
              <w:ind w:left="0" w:firstLine="0"/>
              <w:jc w:val="center"/>
              <w:rPr>
                <w:color w:val="auto"/>
                <w:kern w:val="0"/>
              </w:rPr>
            </w:pPr>
            <w:r w:rsidRPr="00A67BAB">
              <w:rPr>
                <w:rFonts w:hint="eastAsia"/>
                <w:color w:val="auto"/>
                <w:kern w:val="0"/>
              </w:rPr>
              <w:t>100％</w:t>
            </w:r>
          </w:p>
        </w:tc>
      </w:tr>
      <w:tr w:rsidR="003919A8" w:rsidRPr="00824700" w:rsidTr="009B6638">
        <w:tc>
          <w:tcPr>
            <w:tcW w:w="1696" w:type="dxa"/>
            <w:tcBorders>
              <w:right w:val="single" w:sz="4" w:space="0" w:color="auto"/>
            </w:tcBorders>
          </w:tcPr>
          <w:p w:rsidR="003919A8" w:rsidRPr="00907FDE" w:rsidRDefault="00F425B2" w:rsidP="003919A8">
            <w:pPr>
              <w:ind w:left="0" w:firstLine="0"/>
              <w:rPr>
                <w:kern w:val="0"/>
              </w:rPr>
            </w:pPr>
            <w:r>
              <w:rPr>
                <w:rFonts w:hint="eastAsia"/>
                <w:kern w:val="0"/>
              </w:rPr>
              <w:t>旅マエ</w:t>
            </w:r>
            <w:r w:rsidR="003919A8">
              <w:rPr>
                <w:rFonts w:hint="eastAsia"/>
                <w:kern w:val="0"/>
              </w:rPr>
              <w:t>プロモーション</w:t>
            </w:r>
          </w:p>
        </w:tc>
        <w:tc>
          <w:tcPr>
            <w:tcW w:w="3443" w:type="dxa"/>
            <w:gridSpan w:val="2"/>
            <w:tcBorders>
              <w:left w:val="single" w:sz="4" w:space="0" w:color="auto"/>
              <w:right w:val="single" w:sz="4" w:space="0" w:color="auto"/>
            </w:tcBorders>
          </w:tcPr>
          <w:p w:rsidR="003919A8" w:rsidRPr="003919A8" w:rsidRDefault="003919A8" w:rsidP="00F425B2">
            <w:pPr>
              <w:ind w:left="0" w:firstLine="0"/>
              <w:jc w:val="center"/>
              <w:rPr>
                <w:kern w:val="0"/>
              </w:rPr>
            </w:pPr>
            <w:r w:rsidRPr="003919A8">
              <w:rPr>
                <w:rFonts w:hint="eastAsia"/>
                <w:kern w:val="0"/>
              </w:rPr>
              <w:t>＜提案による＞</w:t>
            </w:r>
          </w:p>
        </w:tc>
        <w:tc>
          <w:tcPr>
            <w:tcW w:w="3361" w:type="dxa"/>
            <w:gridSpan w:val="2"/>
            <w:tcBorders>
              <w:left w:val="single" w:sz="4" w:space="0" w:color="auto"/>
            </w:tcBorders>
          </w:tcPr>
          <w:p w:rsidR="003919A8" w:rsidRPr="003919A8" w:rsidRDefault="003919A8" w:rsidP="00F425B2">
            <w:pPr>
              <w:ind w:left="0" w:firstLine="0"/>
              <w:jc w:val="center"/>
              <w:rPr>
                <w:kern w:val="0"/>
              </w:rPr>
            </w:pPr>
            <w:r w:rsidRPr="003919A8">
              <w:rPr>
                <w:rFonts w:hint="eastAsia"/>
                <w:kern w:val="0"/>
              </w:rPr>
              <w:t>＜提案による＞</w:t>
            </w:r>
          </w:p>
        </w:tc>
      </w:tr>
      <w:tr w:rsidR="00F425B2" w:rsidRPr="00824700" w:rsidTr="009B6638">
        <w:tc>
          <w:tcPr>
            <w:tcW w:w="1696" w:type="dxa"/>
            <w:tcBorders>
              <w:right w:val="single" w:sz="4" w:space="0" w:color="auto"/>
            </w:tcBorders>
          </w:tcPr>
          <w:p w:rsidR="00F425B2" w:rsidRDefault="00F425B2" w:rsidP="00F425B2">
            <w:pPr>
              <w:ind w:left="0" w:firstLine="0"/>
              <w:rPr>
                <w:kern w:val="0"/>
              </w:rPr>
            </w:pPr>
            <w:r>
              <w:rPr>
                <w:rFonts w:hint="eastAsia"/>
                <w:kern w:val="0"/>
              </w:rPr>
              <w:t>旅ナカプロモーション</w:t>
            </w:r>
          </w:p>
        </w:tc>
        <w:tc>
          <w:tcPr>
            <w:tcW w:w="3443" w:type="dxa"/>
            <w:gridSpan w:val="2"/>
            <w:tcBorders>
              <w:left w:val="single" w:sz="4" w:space="0" w:color="auto"/>
              <w:right w:val="single" w:sz="4" w:space="0" w:color="auto"/>
            </w:tcBorders>
          </w:tcPr>
          <w:p w:rsidR="00F425B2" w:rsidRPr="003919A8" w:rsidRDefault="00F425B2" w:rsidP="00F425B2">
            <w:pPr>
              <w:ind w:left="0" w:firstLine="0"/>
              <w:jc w:val="center"/>
              <w:rPr>
                <w:kern w:val="0"/>
              </w:rPr>
            </w:pPr>
            <w:r w:rsidRPr="003919A8">
              <w:rPr>
                <w:rFonts w:hint="eastAsia"/>
                <w:kern w:val="0"/>
              </w:rPr>
              <w:t>＜提案による＞</w:t>
            </w:r>
          </w:p>
        </w:tc>
        <w:tc>
          <w:tcPr>
            <w:tcW w:w="3361" w:type="dxa"/>
            <w:gridSpan w:val="2"/>
            <w:tcBorders>
              <w:left w:val="single" w:sz="4" w:space="0" w:color="auto"/>
            </w:tcBorders>
          </w:tcPr>
          <w:p w:rsidR="00F425B2" w:rsidRPr="003919A8" w:rsidRDefault="00F425B2" w:rsidP="00F425B2">
            <w:pPr>
              <w:ind w:left="0" w:firstLine="0"/>
              <w:jc w:val="center"/>
              <w:rPr>
                <w:kern w:val="0"/>
              </w:rPr>
            </w:pPr>
            <w:r w:rsidRPr="003919A8">
              <w:rPr>
                <w:rFonts w:hint="eastAsia"/>
                <w:kern w:val="0"/>
              </w:rPr>
              <w:t>＜提案による＞</w:t>
            </w:r>
          </w:p>
        </w:tc>
      </w:tr>
    </w:tbl>
    <w:p w:rsidR="003919A8" w:rsidRDefault="003919A8">
      <w:pPr>
        <w:spacing w:after="63" w:line="259" w:lineRule="auto"/>
        <w:ind w:left="-5"/>
        <w:rPr>
          <w:rFonts w:ascii="ＭＳ ゴシック" w:eastAsia="ＭＳ ゴシック" w:hAnsi="ＭＳ ゴシック" w:cs="ＭＳ ゴシック"/>
        </w:rPr>
      </w:pPr>
    </w:p>
    <w:p w:rsidR="004E79D9" w:rsidRPr="003C4C89" w:rsidRDefault="008B7032" w:rsidP="003C4C89">
      <w:pPr>
        <w:numPr>
          <w:ilvl w:val="0"/>
          <w:numId w:val="1"/>
        </w:numPr>
        <w:spacing w:after="63" w:line="259" w:lineRule="auto"/>
        <w:ind w:hanging="422"/>
        <w:rPr>
          <w:rFonts w:ascii="ＭＳ ゴシック" w:eastAsia="ＭＳ ゴシック" w:hAnsi="ＭＳ ゴシック" w:cs="ＭＳ ゴシック"/>
          <w:b/>
        </w:rPr>
      </w:pPr>
      <w:r w:rsidRPr="003C4C89">
        <w:rPr>
          <w:rFonts w:ascii="ＭＳ ゴシック" w:eastAsia="ＭＳ ゴシック" w:hAnsi="ＭＳ ゴシック" w:cs="ＭＳ ゴシック" w:hint="eastAsia"/>
          <w:b/>
        </w:rPr>
        <w:t>成果物の納品及び部数</w:t>
      </w:r>
      <w:r w:rsidR="00D11D53" w:rsidRPr="003C4C89">
        <w:rPr>
          <w:rFonts w:ascii="ＭＳ ゴシック" w:eastAsia="ＭＳ ゴシック" w:hAnsi="ＭＳ ゴシック" w:cs="ＭＳ ゴシック"/>
          <w:b/>
        </w:rPr>
        <w:t xml:space="preserve"> </w:t>
      </w:r>
    </w:p>
    <w:p w:rsidR="004E79D9" w:rsidRPr="001928EE" w:rsidRDefault="00D11D53" w:rsidP="003C4C89">
      <w:pPr>
        <w:spacing w:after="63" w:line="259" w:lineRule="auto"/>
        <w:ind w:left="-5" w:firstLine="5"/>
      </w:pPr>
      <w:r w:rsidRPr="001928EE">
        <w:t xml:space="preserve">  事業終了後には速やかに次の提出物を作成し</w:t>
      </w:r>
      <w:r w:rsidR="00917E7A">
        <w:t>、</w:t>
      </w:r>
      <w:r w:rsidRPr="001928EE">
        <w:t xml:space="preserve">提出すること。 </w:t>
      </w:r>
    </w:p>
    <w:p w:rsidR="004E79D9" w:rsidRDefault="003919A8" w:rsidP="00E41674">
      <w:pPr>
        <w:numPr>
          <w:ilvl w:val="0"/>
          <w:numId w:val="17"/>
        </w:numPr>
        <w:spacing w:after="63" w:line="259" w:lineRule="auto"/>
        <w:ind w:hanging="631"/>
        <w:rPr>
          <w:rFonts w:ascii="ＭＳ ゴシック" w:eastAsia="ＭＳ ゴシック"/>
          <w:b/>
        </w:rPr>
      </w:pPr>
      <w:r w:rsidRPr="00E41674">
        <w:rPr>
          <w:rFonts w:ascii="ＭＳ ゴシック" w:eastAsia="ＭＳ ゴシック" w:hint="eastAsia"/>
          <w:b/>
        </w:rPr>
        <w:t>業務完了報告書</w:t>
      </w:r>
    </w:p>
    <w:p w:rsidR="00E41674" w:rsidRPr="00E41674" w:rsidRDefault="00E41674" w:rsidP="00E41674">
      <w:pPr>
        <w:ind w:leftChars="100" w:left="422" w:hangingChars="101" w:hanging="212"/>
      </w:pPr>
      <w:r w:rsidRPr="003919A8">
        <w:rPr>
          <w:rFonts w:hint="eastAsia"/>
        </w:rPr>
        <w:t>・提出媒体・部数：電子媒体及び紙媒体で各１部</w:t>
      </w:r>
    </w:p>
    <w:p w:rsidR="00E41674" w:rsidRPr="00E41674" w:rsidRDefault="00E41674" w:rsidP="00E41674">
      <w:pPr>
        <w:numPr>
          <w:ilvl w:val="0"/>
          <w:numId w:val="17"/>
        </w:numPr>
        <w:spacing w:after="63" w:line="259" w:lineRule="auto"/>
        <w:ind w:hanging="631"/>
        <w:rPr>
          <w:rFonts w:ascii="ＭＳ ゴシック" w:eastAsia="ＭＳ ゴシック"/>
          <w:b/>
        </w:rPr>
      </w:pPr>
      <w:r w:rsidRPr="00E41674">
        <w:rPr>
          <w:rFonts w:ascii="ＭＳ ゴシック" w:eastAsia="ＭＳ ゴシック" w:hint="eastAsia"/>
          <w:b/>
        </w:rPr>
        <w:t>成果物</w:t>
      </w:r>
    </w:p>
    <w:p w:rsidR="003919A8" w:rsidRDefault="003919A8" w:rsidP="00F425B2">
      <w:pPr>
        <w:ind w:leftChars="100" w:left="422" w:hangingChars="101" w:hanging="212"/>
      </w:pPr>
      <w:r>
        <w:rPr>
          <w:rFonts w:hint="eastAsia"/>
        </w:rPr>
        <w:t>・プロモーションの成果物（日本語訳を記載すること。ウェブサイトを利用した場合はページの</w:t>
      </w:r>
      <w:r>
        <w:t>URLを報告すること。）</w:t>
      </w:r>
    </w:p>
    <w:p w:rsidR="004E79D9" w:rsidRPr="001928EE" w:rsidRDefault="003919A8" w:rsidP="00F425B2">
      <w:pPr>
        <w:ind w:leftChars="100" w:left="422" w:hangingChars="101" w:hanging="212"/>
      </w:pPr>
      <w:r>
        <w:rPr>
          <w:rFonts w:hint="eastAsia"/>
        </w:rPr>
        <w:t>・そのほか、本委託業務に関連して制作した制作物（データ等含む）</w:t>
      </w:r>
      <w:r w:rsidR="00D11D53" w:rsidRPr="001928EE">
        <w:t xml:space="preserve"> </w:t>
      </w:r>
    </w:p>
    <w:p w:rsidR="00C02256" w:rsidRPr="001928EE" w:rsidRDefault="00D11D53">
      <w:pPr>
        <w:spacing w:after="63" w:line="259" w:lineRule="auto"/>
        <w:ind w:left="0" w:firstLine="0"/>
      </w:pPr>
      <w:r w:rsidRPr="001928EE">
        <w:t xml:space="preserve"> </w:t>
      </w:r>
    </w:p>
    <w:p w:rsidR="004E79D9" w:rsidRPr="003C4C89" w:rsidRDefault="008B7032" w:rsidP="003C4C89">
      <w:pPr>
        <w:numPr>
          <w:ilvl w:val="0"/>
          <w:numId w:val="1"/>
        </w:numPr>
        <w:spacing w:after="63" w:line="259" w:lineRule="auto"/>
        <w:ind w:hanging="422"/>
        <w:rPr>
          <w:rFonts w:ascii="ＭＳ ゴシック" w:eastAsia="ＭＳ ゴシック" w:hAnsi="ＭＳ ゴシック" w:cs="ＭＳ ゴシック"/>
          <w:b/>
        </w:rPr>
      </w:pPr>
      <w:r w:rsidRPr="003C4C89">
        <w:rPr>
          <w:rFonts w:ascii="ＭＳ ゴシック" w:eastAsia="ＭＳ ゴシック" w:hAnsi="ＭＳ ゴシック" w:cs="ＭＳ ゴシック" w:hint="eastAsia"/>
          <w:b/>
        </w:rPr>
        <w:t>著作権</w:t>
      </w:r>
      <w:r w:rsidR="00D11D53" w:rsidRPr="003C4C89">
        <w:rPr>
          <w:rFonts w:ascii="ＭＳ ゴシック" w:eastAsia="ＭＳ ゴシック" w:hAnsi="ＭＳ ゴシック" w:cs="ＭＳ ゴシック"/>
          <w:b/>
        </w:rPr>
        <w:t xml:space="preserve"> </w:t>
      </w:r>
    </w:p>
    <w:p w:rsidR="003919A8" w:rsidRDefault="003919A8" w:rsidP="003C4C89">
      <w:pPr>
        <w:spacing w:after="63" w:line="259" w:lineRule="auto"/>
        <w:ind w:left="-5" w:firstLine="5"/>
      </w:pPr>
      <w:r>
        <w:rPr>
          <w:rFonts w:hint="eastAsia"/>
        </w:rPr>
        <w:t xml:space="preserve">　作成される成果物の著作権等の取り扱いは、次に定めるところによる。</w:t>
      </w:r>
    </w:p>
    <w:p w:rsidR="003919A8" w:rsidRDefault="003919A8" w:rsidP="003C4C89">
      <w:pPr>
        <w:ind w:leftChars="100" w:left="422" w:hangingChars="101" w:hanging="212"/>
      </w:pPr>
      <w:r>
        <w:rPr>
          <w:rFonts w:hint="eastAsia"/>
        </w:rPr>
        <w:t>・本業務により作成された業務の成果物の所有権、著作権及びその他の権利は、本市に帰属するものとする。ただし、成果物に受託事業者は又は第三者の著作物が含まれている場合、当該著作物（当該著作物を改変したものを含む）の著作権は、従前からの著作権者に帰属するものとする。</w:t>
      </w:r>
    </w:p>
    <w:p w:rsidR="003919A8" w:rsidRDefault="003919A8" w:rsidP="003C4C89">
      <w:pPr>
        <w:ind w:leftChars="100" w:left="422" w:hangingChars="101" w:hanging="212"/>
      </w:pPr>
      <w:r>
        <w:rPr>
          <w:rFonts w:hint="eastAsia"/>
        </w:rPr>
        <w:t>・業務の成果品等に、受託業者が従前から補修する知的財産権（著作権、ノウハウ、アイデア、技術、情報を含む。）が含まれていた場合には、権利は受託者に留保されるが、仙台市は、本業務の成果品等を利用するために必要な範囲において、これを無償で利用できるものとする。</w:t>
      </w:r>
    </w:p>
    <w:p w:rsidR="003919A8" w:rsidRDefault="003919A8" w:rsidP="003C4C89">
      <w:pPr>
        <w:ind w:leftChars="100" w:left="422" w:hangingChars="101" w:hanging="212"/>
      </w:pPr>
      <w:r>
        <w:rPr>
          <w:rFonts w:hint="eastAsia"/>
        </w:rPr>
        <w:t>・受託者は、仙台市に対し、著作者人格権を行使しないものとする。</w:t>
      </w:r>
    </w:p>
    <w:p w:rsidR="003919A8" w:rsidRDefault="003919A8" w:rsidP="003C4C89">
      <w:pPr>
        <w:ind w:leftChars="100" w:left="422" w:hangingChars="101" w:hanging="212"/>
      </w:pPr>
      <w:r>
        <w:rPr>
          <w:rFonts w:hint="eastAsia"/>
        </w:rPr>
        <w:t>・掲載写真を自社において撮影し活用することは可能であるが、撮影費用は受託者の責任において本業務予算に含めること。</w:t>
      </w:r>
    </w:p>
    <w:p w:rsidR="003919A8" w:rsidRDefault="003919A8" w:rsidP="003C4C89">
      <w:pPr>
        <w:ind w:leftChars="100" w:left="422" w:hangingChars="101" w:hanging="212"/>
      </w:pPr>
      <w:r>
        <w:rPr>
          <w:rFonts w:hint="eastAsia"/>
        </w:rPr>
        <w:t>・制作にあたり利用する画像等の著作権や人物等の肖像権の権利に関することは、受託者がその手続きを行うこととする。</w:t>
      </w:r>
    </w:p>
    <w:p w:rsidR="003919A8" w:rsidRDefault="003919A8" w:rsidP="003919A8">
      <w:pPr>
        <w:ind w:leftChars="-67" w:left="96" w:hangingChars="113" w:hanging="237"/>
      </w:pPr>
      <w:r>
        <w:rPr>
          <w:rFonts w:hint="eastAsia"/>
        </w:rPr>
        <w:lastRenderedPageBreak/>
        <w:t>・受託者は、制作物が第三者の著作権等の権利を侵害しないことを保証し、第三者から制作物に関して著作権等侵害を主張された場合の一切の責任は、受託者が負うものとする。</w:t>
      </w:r>
    </w:p>
    <w:p w:rsidR="004E79D9" w:rsidRPr="001928EE" w:rsidRDefault="004E79D9" w:rsidP="005C19CE">
      <w:pPr>
        <w:spacing w:after="63" w:line="259" w:lineRule="auto"/>
        <w:ind w:leftChars="200" w:left="420" w:firstLineChars="100" w:firstLine="210"/>
      </w:pPr>
    </w:p>
    <w:p w:rsidR="003919A8" w:rsidRPr="003C4C89" w:rsidRDefault="003919A8" w:rsidP="003C4C89">
      <w:pPr>
        <w:numPr>
          <w:ilvl w:val="0"/>
          <w:numId w:val="1"/>
        </w:numPr>
        <w:spacing w:after="63" w:line="259" w:lineRule="auto"/>
        <w:ind w:hanging="422"/>
        <w:rPr>
          <w:rFonts w:ascii="ＭＳ ゴシック" w:eastAsia="ＭＳ ゴシック" w:hAnsi="ＭＳ ゴシック" w:cs="ＭＳ ゴシック"/>
          <w:b/>
        </w:rPr>
      </w:pPr>
      <w:r w:rsidRPr="003C4C89">
        <w:rPr>
          <w:rFonts w:ascii="ＭＳ ゴシック" w:eastAsia="ＭＳ ゴシック" w:hAnsi="ＭＳ ゴシック" w:cs="ＭＳ ゴシック" w:hint="eastAsia"/>
          <w:b/>
        </w:rPr>
        <w:t>その他留意事項</w:t>
      </w:r>
    </w:p>
    <w:p w:rsidR="003919A8" w:rsidRPr="00E41674" w:rsidRDefault="003919A8" w:rsidP="00E41674">
      <w:pPr>
        <w:numPr>
          <w:ilvl w:val="0"/>
          <w:numId w:val="18"/>
        </w:numPr>
        <w:spacing w:after="63" w:line="259" w:lineRule="auto"/>
        <w:ind w:leftChars="-1" w:left="-2" w:firstLine="0"/>
        <w:rPr>
          <w:rFonts w:ascii="ＭＳ ゴシック" w:eastAsia="ＭＳ ゴシック"/>
          <w:b/>
        </w:rPr>
      </w:pPr>
      <w:r w:rsidRPr="00E41674">
        <w:rPr>
          <w:rFonts w:ascii="ＭＳ ゴシック" w:eastAsia="ＭＳ ゴシック" w:hint="eastAsia"/>
          <w:b/>
        </w:rPr>
        <w:t>機密保護</w:t>
      </w:r>
    </w:p>
    <w:p w:rsidR="003919A8" w:rsidRDefault="003919A8" w:rsidP="003919A8">
      <w:pPr>
        <w:spacing w:after="63" w:line="259" w:lineRule="auto"/>
        <w:ind w:left="0" w:firstLine="0"/>
      </w:pPr>
      <w:r>
        <w:rPr>
          <w:rFonts w:hint="eastAsia"/>
        </w:rPr>
        <w:t>仙台市が個人情報・秘密と指定した事項及び業務の履行に際し知り得た秘密を第三者に漏らしてはならない。また、契約終了後も同様とする。</w:t>
      </w:r>
    </w:p>
    <w:p w:rsidR="003919A8" w:rsidRDefault="003919A8" w:rsidP="003919A8">
      <w:pPr>
        <w:spacing w:after="63" w:line="259" w:lineRule="auto"/>
        <w:ind w:left="0" w:firstLine="0"/>
      </w:pPr>
    </w:p>
    <w:p w:rsidR="003919A8" w:rsidRPr="00E41674" w:rsidRDefault="003919A8" w:rsidP="00E41674">
      <w:pPr>
        <w:numPr>
          <w:ilvl w:val="0"/>
          <w:numId w:val="18"/>
        </w:numPr>
        <w:spacing w:after="63" w:line="259" w:lineRule="auto"/>
        <w:ind w:hanging="631"/>
        <w:rPr>
          <w:rFonts w:ascii="ＭＳ ゴシック" w:eastAsia="ＭＳ ゴシック"/>
          <w:b/>
        </w:rPr>
      </w:pPr>
      <w:r w:rsidRPr="00E41674">
        <w:rPr>
          <w:rFonts w:ascii="ＭＳ ゴシック" w:eastAsia="ＭＳ ゴシック" w:hint="eastAsia"/>
          <w:b/>
        </w:rPr>
        <w:t>再委託</w:t>
      </w:r>
    </w:p>
    <w:p w:rsidR="003919A8" w:rsidRDefault="003919A8" w:rsidP="003919A8">
      <w:pPr>
        <w:spacing w:after="63" w:line="259" w:lineRule="auto"/>
        <w:ind w:left="0" w:firstLine="0"/>
      </w:pPr>
      <w:r>
        <w:rPr>
          <w:rFonts w:hint="eastAsia"/>
        </w:rPr>
        <w:t>受託業者は各業務を一括して受託者内で完結できること。基本的には第三者委託を禁止とする。再委託する場合には、あらかじめ本市の同意を得るものとし、再委託先の行った作業の結果については、受託者が全責任を負うこと。</w:t>
      </w:r>
    </w:p>
    <w:p w:rsidR="003919A8" w:rsidRDefault="003919A8" w:rsidP="003919A8">
      <w:pPr>
        <w:spacing w:after="63" w:line="259" w:lineRule="auto"/>
        <w:ind w:left="0" w:firstLine="0"/>
      </w:pPr>
    </w:p>
    <w:p w:rsidR="003919A8" w:rsidRPr="00E41674" w:rsidRDefault="003919A8" w:rsidP="00E41674">
      <w:pPr>
        <w:numPr>
          <w:ilvl w:val="0"/>
          <w:numId w:val="18"/>
        </w:numPr>
        <w:spacing w:after="63" w:line="259" w:lineRule="auto"/>
        <w:ind w:hanging="631"/>
        <w:rPr>
          <w:rFonts w:ascii="ＭＳ ゴシック" w:eastAsia="ＭＳ ゴシック"/>
          <w:b/>
        </w:rPr>
      </w:pPr>
      <w:r w:rsidRPr="00E41674">
        <w:rPr>
          <w:rFonts w:ascii="ＭＳ ゴシック" w:eastAsia="ＭＳ ゴシック" w:hint="eastAsia"/>
          <w:b/>
        </w:rPr>
        <w:t>協議</w:t>
      </w:r>
    </w:p>
    <w:p w:rsidR="004E79D9" w:rsidRDefault="003919A8" w:rsidP="003919A8">
      <w:pPr>
        <w:spacing w:after="63" w:line="259" w:lineRule="auto"/>
        <w:ind w:left="0" w:firstLine="0"/>
      </w:pPr>
      <w:r>
        <w:rPr>
          <w:rFonts w:hint="eastAsia"/>
        </w:rPr>
        <w:t>本仕様書に定める事項に疑義が生じた場合、又は本仕様書に定めのない事項で協議の必要がある場合は、受託者は本市と協議を行うこと。</w:t>
      </w:r>
    </w:p>
    <w:sectPr w:rsidR="004E79D9">
      <w:footerReference w:type="even" r:id="rId10"/>
      <w:footerReference w:type="default" r:id="rId11"/>
      <w:footerReference w:type="first" r:id="rId12"/>
      <w:pgSz w:w="11906" w:h="16838"/>
      <w:pgMar w:top="2045" w:right="1745" w:bottom="1965" w:left="1702" w:header="720" w:footer="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E85" w:rsidRDefault="00D11D53">
      <w:pPr>
        <w:spacing w:after="0" w:line="240" w:lineRule="auto"/>
      </w:pPr>
      <w:r>
        <w:separator/>
      </w:r>
    </w:p>
  </w:endnote>
  <w:endnote w:type="continuationSeparator" w:id="0">
    <w:p w:rsidR="00FB4E85" w:rsidRDefault="00D1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D9" w:rsidRDefault="00D11D53">
    <w:pPr>
      <w:spacing w:after="0" w:line="259" w:lineRule="auto"/>
      <w:ind w:left="47" w:firstLine="0"/>
      <w:jc w:val="center"/>
    </w:pPr>
    <w:r>
      <w:fldChar w:fldCharType="begin"/>
    </w:r>
    <w:r>
      <w:instrText xml:space="preserve"> PAGE   \* MERGEFORMAT </w:instrText>
    </w:r>
    <w:r>
      <w:fldChar w:fldCharType="separate"/>
    </w:r>
    <w:r>
      <w:rPr>
        <w:rFonts w:ascii="游明朝" w:eastAsia="游明朝" w:hAnsi="游明朝" w:cs="游明朝"/>
      </w:rPr>
      <w:t>1</w:t>
    </w:r>
    <w:r>
      <w:rPr>
        <w:rFonts w:ascii="游明朝" w:eastAsia="游明朝" w:hAnsi="游明朝" w:cs="游明朝"/>
      </w:rPr>
      <w:fldChar w:fldCharType="end"/>
    </w:r>
    <w:r>
      <w:rPr>
        <w:rFonts w:ascii="游明朝" w:eastAsia="游明朝" w:hAnsi="游明朝" w:cs="游明朝"/>
      </w:rPr>
      <w:t xml:space="preserve"> </w:t>
    </w:r>
  </w:p>
  <w:p w:rsidR="004E79D9" w:rsidRDefault="00D11D53">
    <w:pPr>
      <w:spacing w:after="0" w:line="259" w:lineRule="auto"/>
      <w:ind w:left="0" w:firstLine="0"/>
    </w:pPr>
    <w:r>
      <w:rPr>
        <w:rFonts w:ascii="游明朝" w:eastAsia="游明朝" w:hAnsi="游明朝" w:cs="游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D9" w:rsidRDefault="00D11D53">
    <w:pPr>
      <w:spacing w:after="0" w:line="259" w:lineRule="auto"/>
      <w:ind w:left="47" w:firstLine="0"/>
      <w:jc w:val="center"/>
    </w:pPr>
    <w:r>
      <w:fldChar w:fldCharType="begin"/>
    </w:r>
    <w:r>
      <w:instrText xml:space="preserve"> PAGE   \* MERGEFORMAT </w:instrText>
    </w:r>
    <w:r>
      <w:fldChar w:fldCharType="separate"/>
    </w:r>
    <w:r w:rsidR="00CC3BE0" w:rsidRPr="00CC3BE0">
      <w:rPr>
        <w:rFonts w:ascii="游明朝" w:eastAsia="游明朝" w:hAnsi="游明朝" w:cs="游明朝"/>
        <w:noProof/>
      </w:rPr>
      <w:t>1</w:t>
    </w:r>
    <w:r>
      <w:rPr>
        <w:rFonts w:ascii="游明朝" w:eastAsia="游明朝" w:hAnsi="游明朝" w:cs="游明朝"/>
      </w:rPr>
      <w:fldChar w:fldCharType="end"/>
    </w:r>
    <w:r>
      <w:rPr>
        <w:rFonts w:ascii="游明朝" w:eastAsia="游明朝" w:hAnsi="游明朝" w:cs="游明朝"/>
      </w:rPr>
      <w:t xml:space="preserve"> </w:t>
    </w:r>
  </w:p>
  <w:p w:rsidR="004E79D9" w:rsidRDefault="00D11D53">
    <w:pPr>
      <w:spacing w:after="0" w:line="259" w:lineRule="auto"/>
      <w:ind w:left="0" w:firstLine="0"/>
    </w:pPr>
    <w:r>
      <w:rPr>
        <w:rFonts w:ascii="游明朝" w:eastAsia="游明朝" w:hAnsi="游明朝" w:cs="游明朝"/>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D9" w:rsidRDefault="00D11D53">
    <w:pPr>
      <w:spacing w:after="0" w:line="259" w:lineRule="auto"/>
      <w:ind w:left="47" w:firstLine="0"/>
      <w:jc w:val="center"/>
    </w:pPr>
    <w:r>
      <w:fldChar w:fldCharType="begin"/>
    </w:r>
    <w:r>
      <w:instrText xml:space="preserve"> PAGE   \* MERGEFORMAT </w:instrText>
    </w:r>
    <w:r>
      <w:fldChar w:fldCharType="separate"/>
    </w:r>
    <w:r>
      <w:rPr>
        <w:rFonts w:ascii="游明朝" w:eastAsia="游明朝" w:hAnsi="游明朝" w:cs="游明朝"/>
      </w:rPr>
      <w:t>1</w:t>
    </w:r>
    <w:r>
      <w:rPr>
        <w:rFonts w:ascii="游明朝" w:eastAsia="游明朝" w:hAnsi="游明朝" w:cs="游明朝"/>
      </w:rPr>
      <w:fldChar w:fldCharType="end"/>
    </w:r>
    <w:r>
      <w:rPr>
        <w:rFonts w:ascii="游明朝" w:eastAsia="游明朝" w:hAnsi="游明朝" w:cs="游明朝"/>
      </w:rPr>
      <w:t xml:space="preserve"> </w:t>
    </w:r>
  </w:p>
  <w:p w:rsidR="004E79D9" w:rsidRDefault="00D11D53">
    <w:pPr>
      <w:spacing w:after="0" w:line="259" w:lineRule="auto"/>
      <w:ind w:left="0" w:firstLine="0"/>
    </w:pPr>
    <w:r>
      <w:rPr>
        <w:rFonts w:ascii="游明朝" w:eastAsia="游明朝" w:hAnsi="游明朝" w:cs="游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E85" w:rsidRDefault="00D11D53">
      <w:pPr>
        <w:spacing w:after="0" w:line="240" w:lineRule="auto"/>
      </w:pPr>
      <w:r>
        <w:separator/>
      </w:r>
    </w:p>
  </w:footnote>
  <w:footnote w:type="continuationSeparator" w:id="0">
    <w:p w:rsidR="00FB4E85" w:rsidRDefault="00D1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2F88"/>
    <w:multiLevelType w:val="hybridMultilevel"/>
    <w:tmpl w:val="749AA25E"/>
    <w:lvl w:ilvl="0" w:tplc="F8129192">
      <w:start w:val="1"/>
      <w:numFmt w:val="irohaFullWidth"/>
      <w:lvlText w:val="%1"/>
      <w:lvlJc w:val="left"/>
      <w:pPr>
        <w:ind w:left="-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209" w:hanging="420"/>
      </w:pPr>
    </w:lvl>
    <w:lvl w:ilvl="2" w:tplc="04090011" w:tentative="1">
      <w:start w:val="1"/>
      <w:numFmt w:val="decimalEnclosedCircle"/>
      <w:lvlText w:val="%3"/>
      <w:lvlJc w:val="left"/>
      <w:pPr>
        <w:ind w:left="629" w:hanging="420"/>
      </w:pPr>
    </w:lvl>
    <w:lvl w:ilvl="3" w:tplc="0409000F" w:tentative="1">
      <w:start w:val="1"/>
      <w:numFmt w:val="decimal"/>
      <w:lvlText w:val="%4."/>
      <w:lvlJc w:val="left"/>
      <w:pPr>
        <w:ind w:left="1049" w:hanging="420"/>
      </w:pPr>
    </w:lvl>
    <w:lvl w:ilvl="4" w:tplc="04090017" w:tentative="1">
      <w:start w:val="1"/>
      <w:numFmt w:val="aiueoFullWidth"/>
      <w:lvlText w:val="(%5)"/>
      <w:lvlJc w:val="left"/>
      <w:pPr>
        <w:ind w:left="1469" w:hanging="420"/>
      </w:pPr>
    </w:lvl>
    <w:lvl w:ilvl="5" w:tplc="04090011" w:tentative="1">
      <w:start w:val="1"/>
      <w:numFmt w:val="decimalEnclosedCircle"/>
      <w:lvlText w:val="%6"/>
      <w:lvlJc w:val="left"/>
      <w:pPr>
        <w:ind w:left="1889" w:hanging="420"/>
      </w:pPr>
    </w:lvl>
    <w:lvl w:ilvl="6" w:tplc="0409000F" w:tentative="1">
      <w:start w:val="1"/>
      <w:numFmt w:val="decimal"/>
      <w:lvlText w:val="%7."/>
      <w:lvlJc w:val="left"/>
      <w:pPr>
        <w:ind w:left="2309" w:hanging="420"/>
      </w:pPr>
    </w:lvl>
    <w:lvl w:ilvl="7" w:tplc="04090017" w:tentative="1">
      <w:start w:val="1"/>
      <w:numFmt w:val="aiueoFullWidth"/>
      <w:lvlText w:val="(%8)"/>
      <w:lvlJc w:val="left"/>
      <w:pPr>
        <w:ind w:left="2729" w:hanging="420"/>
      </w:pPr>
    </w:lvl>
    <w:lvl w:ilvl="8" w:tplc="04090011" w:tentative="1">
      <w:start w:val="1"/>
      <w:numFmt w:val="decimalEnclosedCircle"/>
      <w:lvlText w:val="%9"/>
      <w:lvlJc w:val="left"/>
      <w:pPr>
        <w:ind w:left="3149" w:hanging="420"/>
      </w:pPr>
    </w:lvl>
  </w:abstractNum>
  <w:abstractNum w:abstractNumId="1" w15:restartNumberingAfterBreak="0">
    <w:nsid w:val="19CD1414"/>
    <w:multiLevelType w:val="hybridMultilevel"/>
    <w:tmpl w:val="06EA85EA"/>
    <w:lvl w:ilvl="0" w:tplc="E8268446">
      <w:start w:val="1"/>
      <w:numFmt w:val="decimalEnclosedCircle"/>
      <w:suff w:val="space"/>
      <w:lvlText w:val="%1"/>
      <w:lvlJc w:val="left"/>
      <w:pPr>
        <w:ind w:left="631"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F20C1A"/>
    <w:multiLevelType w:val="hybridMultilevel"/>
    <w:tmpl w:val="3C8C4AD2"/>
    <w:lvl w:ilvl="0" w:tplc="B03EAA50">
      <w:start w:val="1"/>
      <w:numFmt w:val="decimalFullWidth"/>
      <w:lvlText w:val="（%1）"/>
      <w:lvlJc w:val="left"/>
      <w:pPr>
        <w:ind w:left="631"/>
      </w:pPr>
      <w:rPr>
        <w:rFonts w:ascii="ＭＳ ゴシック" w:eastAsia="ＭＳ ゴシック" w:hAnsi="ＭＳ 明朝" w:cs="ＭＳ 明朝"/>
        <w:b/>
        <w:i w:val="0"/>
        <w:strike w:val="0"/>
        <w:dstrike w:val="0"/>
        <w:color w:val="000000"/>
        <w:sz w:val="21"/>
        <w:szCs w:val="21"/>
        <w:u w:val="none" w:color="000000"/>
        <w:bdr w:val="none" w:sz="0" w:space="0" w:color="auto"/>
        <w:shd w:val="clear" w:color="auto" w:fill="auto"/>
        <w:vertAlign w:val="baseline"/>
      </w:rPr>
    </w:lvl>
    <w:lvl w:ilvl="1" w:tplc="51A4589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10B0C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6B854B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AEA6B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5C6745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FA0E2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8E0FA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5E0CB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6930656"/>
    <w:multiLevelType w:val="hybridMultilevel"/>
    <w:tmpl w:val="B95C9F94"/>
    <w:lvl w:ilvl="0" w:tplc="95D229C4">
      <w:start w:val="1"/>
      <w:numFmt w:val="decimalFullWidth"/>
      <w:lvlText w:val="%1"/>
      <w:lvlJc w:val="left"/>
      <w:pPr>
        <w:ind w:left="422"/>
      </w:pPr>
      <w:rPr>
        <w:rFonts w:ascii="ＭＳ ゴシック" w:eastAsia="ＭＳ ゴシック" w:hAnsi="ＭＳ ゴシック" w:cs="ＭＳ ゴシック"/>
        <w:b/>
        <w:i w:val="0"/>
        <w:strike w:val="0"/>
        <w:dstrike w:val="0"/>
        <w:color w:val="000000"/>
        <w:sz w:val="21"/>
        <w:szCs w:val="21"/>
        <w:u w:val="none" w:color="000000"/>
        <w:bdr w:val="none" w:sz="0" w:space="0" w:color="auto"/>
        <w:shd w:val="clear" w:color="auto" w:fill="auto"/>
        <w:vertAlign w:val="baseline"/>
      </w:rPr>
    </w:lvl>
    <w:lvl w:ilvl="1" w:tplc="128CC0A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1C6A02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7F184CE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BA4869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1EEF31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DB207F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6562F0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A2CCDE4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FF63AFD"/>
    <w:multiLevelType w:val="hybridMultilevel"/>
    <w:tmpl w:val="5D8661FE"/>
    <w:lvl w:ilvl="0" w:tplc="B644E6E8">
      <w:start w:val="1"/>
      <w:numFmt w:val="irohaFullWidth"/>
      <w:lvlText w:val="%1"/>
      <w:lvlJc w:val="left"/>
      <w:pPr>
        <w:ind w:left="845"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32C14562"/>
    <w:multiLevelType w:val="hybridMultilevel"/>
    <w:tmpl w:val="01264AA8"/>
    <w:lvl w:ilvl="0" w:tplc="30CA114E">
      <w:start w:val="1"/>
      <w:numFmt w:val="decimalEnclosedCircle"/>
      <w:lvlText w:val="%1"/>
      <w:lvlJc w:val="left"/>
      <w:pPr>
        <w:ind w:left="16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936" w:hanging="420"/>
      </w:pPr>
    </w:lvl>
    <w:lvl w:ilvl="2" w:tplc="04090011">
      <w:start w:val="1"/>
      <w:numFmt w:val="decimalEnclosedCircle"/>
      <w:lvlText w:val="%3"/>
      <w:lvlJc w:val="left"/>
      <w:pPr>
        <w:ind w:left="1356" w:hanging="420"/>
      </w:pPr>
    </w:lvl>
    <w:lvl w:ilvl="3" w:tplc="0409000F">
      <w:start w:val="1"/>
      <w:numFmt w:val="decimal"/>
      <w:lvlText w:val="%4."/>
      <w:lvlJc w:val="left"/>
      <w:pPr>
        <w:ind w:left="1776" w:hanging="420"/>
      </w:pPr>
    </w:lvl>
    <w:lvl w:ilvl="4" w:tplc="04090017">
      <w:start w:val="1"/>
      <w:numFmt w:val="aiueoFullWidth"/>
      <w:lvlText w:val="(%5)"/>
      <w:lvlJc w:val="left"/>
      <w:pPr>
        <w:ind w:left="2196" w:hanging="420"/>
      </w:pPr>
    </w:lvl>
    <w:lvl w:ilvl="5" w:tplc="04090011">
      <w:start w:val="1"/>
      <w:numFmt w:val="decimalEnclosedCircle"/>
      <w:lvlText w:val="%6"/>
      <w:lvlJc w:val="left"/>
      <w:pPr>
        <w:ind w:left="2616" w:hanging="420"/>
      </w:pPr>
    </w:lvl>
    <w:lvl w:ilvl="6" w:tplc="0409000F">
      <w:start w:val="1"/>
      <w:numFmt w:val="decimal"/>
      <w:lvlText w:val="%7."/>
      <w:lvlJc w:val="left"/>
      <w:pPr>
        <w:ind w:left="3036" w:hanging="420"/>
      </w:pPr>
    </w:lvl>
    <w:lvl w:ilvl="7" w:tplc="04090017">
      <w:start w:val="1"/>
      <w:numFmt w:val="aiueoFullWidth"/>
      <w:lvlText w:val="(%8)"/>
      <w:lvlJc w:val="left"/>
      <w:pPr>
        <w:ind w:left="3456" w:hanging="420"/>
      </w:pPr>
    </w:lvl>
    <w:lvl w:ilvl="8" w:tplc="04090011">
      <w:start w:val="1"/>
      <w:numFmt w:val="decimalEnclosedCircle"/>
      <w:lvlText w:val="%9"/>
      <w:lvlJc w:val="left"/>
      <w:pPr>
        <w:ind w:left="3876" w:hanging="420"/>
      </w:pPr>
    </w:lvl>
  </w:abstractNum>
  <w:abstractNum w:abstractNumId="6" w15:restartNumberingAfterBreak="0">
    <w:nsid w:val="349F6D87"/>
    <w:multiLevelType w:val="hybridMultilevel"/>
    <w:tmpl w:val="3C8C4AD2"/>
    <w:lvl w:ilvl="0" w:tplc="B03EAA50">
      <w:start w:val="1"/>
      <w:numFmt w:val="decimalFullWidth"/>
      <w:lvlText w:val="（%1）"/>
      <w:lvlJc w:val="left"/>
      <w:pPr>
        <w:ind w:left="631"/>
      </w:pPr>
      <w:rPr>
        <w:rFonts w:ascii="ＭＳ ゴシック" w:eastAsia="ＭＳ ゴシック" w:hAnsi="ＭＳ 明朝" w:cs="ＭＳ 明朝"/>
        <w:b/>
        <w:i w:val="0"/>
        <w:strike w:val="0"/>
        <w:dstrike w:val="0"/>
        <w:color w:val="000000"/>
        <w:sz w:val="21"/>
        <w:szCs w:val="21"/>
        <w:u w:val="none" w:color="000000"/>
        <w:bdr w:val="none" w:sz="0" w:space="0" w:color="auto"/>
        <w:shd w:val="clear" w:color="auto" w:fill="auto"/>
        <w:vertAlign w:val="baseline"/>
      </w:rPr>
    </w:lvl>
    <w:lvl w:ilvl="1" w:tplc="51A4589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10B0C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6B854B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AEA6B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5C6745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FA0E2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8E0FA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5E0CB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6E772DD"/>
    <w:multiLevelType w:val="hybridMultilevel"/>
    <w:tmpl w:val="BE124FD4"/>
    <w:lvl w:ilvl="0" w:tplc="22AA1EEC">
      <w:start w:val="1"/>
      <w:numFmt w:val="decimalFullWidth"/>
      <w:suff w:val="nothing"/>
      <w:lvlText w:val="（%1）"/>
      <w:lvlJc w:val="left"/>
      <w:pPr>
        <w:ind w:left="631" w:hanging="177"/>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F8129192">
      <w:start w:val="1"/>
      <w:numFmt w:val="irohaFullWidth"/>
      <w:lvlText w:val="%2"/>
      <w:lvlJc w:val="left"/>
      <w:pPr>
        <w:ind w:left="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EAC492">
      <w:start w:val="1"/>
      <w:numFmt w:val="iroha"/>
      <w:suff w:val="space"/>
      <w:lvlText w:val="(%3)"/>
      <w:lvlJc w:val="left"/>
      <w:pPr>
        <w:ind w:left="624"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3" w:tplc="30CA114E">
      <w:start w:val="1"/>
      <w:numFmt w:val="decimalEnclosedCircle"/>
      <w:lvlText w:val="%4"/>
      <w:lvlJc w:val="left"/>
      <w:pPr>
        <w:ind w:left="1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2C8FB5A">
      <w:start w:val="1"/>
      <w:numFmt w:val="lowerLetter"/>
      <w:lvlText w:val="%5"/>
      <w:lvlJc w:val="left"/>
      <w:pPr>
        <w:ind w:left="25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4AC9C2">
      <w:start w:val="1"/>
      <w:numFmt w:val="lowerRoman"/>
      <w:lvlText w:val="%6"/>
      <w:lvlJc w:val="left"/>
      <w:pPr>
        <w:ind w:left="32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98D486">
      <w:start w:val="1"/>
      <w:numFmt w:val="decimal"/>
      <w:lvlText w:val="%7"/>
      <w:lvlJc w:val="left"/>
      <w:pPr>
        <w:ind w:left="39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B143AAE">
      <w:start w:val="1"/>
      <w:numFmt w:val="lowerLetter"/>
      <w:lvlText w:val="%8"/>
      <w:lvlJc w:val="left"/>
      <w:pPr>
        <w:ind w:left="47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D5C9980">
      <w:start w:val="1"/>
      <w:numFmt w:val="lowerRoman"/>
      <w:lvlText w:val="%9"/>
      <w:lvlJc w:val="left"/>
      <w:pPr>
        <w:ind w:left="54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6539D5"/>
    <w:multiLevelType w:val="hybridMultilevel"/>
    <w:tmpl w:val="4C7CC142"/>
    <w:lvl w:ilvl="0" w:tplc="95C297D6">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1A4589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10B0C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6B854B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AEA6B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5C6745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FA0E2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8E0FA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5E0CB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0C0FA4"/>
    <w:multiLevelType w:val="hybridMultilevel"/>
    <w:tmpl w:val="884EBC5A"/>
    <w:lvl w:ilvl="0" w:tplc="4EDCB68C">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03441C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969AE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4D2759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1C8D5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8C7A0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7E39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A4D56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0D0758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DB71CD9"/>
    <w:multiLevelType w:val="hybridMultilevel"/>
    <w:tmpl w:val="D9869DDC"/>
    <w:lvl w:ilvl="0" w:tplc="30CA114E">
      <w:start w:val="1"/>
      <w:numFmt w:val="decimalEnclosedCircle"/>
      <w:lvlText w:val="%1"/>
      <w:lvlJc w:val="left"/>
      <w:pPr>
        <w:ind w:left="15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130F6"/>
    <w:multiLevelType w:val="hybridMultilevel"/>
    <w:tmpl w:val="29924D00"/>
    <w:lvl w:ilvl="0" w:tplc="6D8C22B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BC276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7ED81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E68F2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1A781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2803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2A56B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E4EFAD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1C6D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2A51455"/>
    <w:multiLevelType w:val="hybridMultilevel"/>
    <w:tmpl w:val="6DDC1280"/>
    <w:lvl w:ilvl="0" w:tplc="F8129192">
      <w:start w:val="1"/>
      <w:numFmt w:val="irohaFullWidth"/>
      <w:lvlText w:val="%1"/>
      <w:lvlJc w:val="left"/>
      <w:pPr>
        <w:ind w:left="845"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67B8574F"/>
    <w:multiLevelType w:val="hybridMultilevel"/>
    <w:tmpl w:val="06EA85EA"/>
    <w:lvl w:ilvl="0" w:tplc="E8268446">
      <w:start w:val="1"/>
      <w:numFmt w:val="decimalEnclosedCircle"/>
      <w:suff w:val="space"/>
      <w:lvlText w:val="%1"/>
      <w:lvlJc w:val="left"/>
      <w:pPr>
        <w:ind w:left="631"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014078"/>
    <w:multiLevelType w:val="hybridMultilevel"/>
    <w:tmpl w:val="D23A749E"/>
    <w:lvl w:ilvl="0" w:tplc="346A49F4">
      <w:start w:val="1"/>
      <w:numFmt w:val="decimalFullWidth"/>
      <w:suff w:val="nothing"/>
      <w:lvlText w:val="（%1）"/>
      <w:lvlJc w:val="left"/>
      <w:pPr>
        <w:ind w:left="352" w:hanging="177"/>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48207CF4">
      <w:start w:val="1"/>
      <w:numFmt w:val="irohaFullWidth"/>
      <w:lvlText w:val="%2"/>
      <w:lvlJc w:val="left"/>
      <w:pPr>
        <w:ind w:left="425" w:firstLine="29"/>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2" w:tplc="27DC83AE">
      <w:start w:val="1"/>
      <w:numFmt w:val="iroha"/>
      <w:lvlText w:val="(%3)"/>
      <w:lvlJc w:val="left"/>
      <w:pPr>
        <w:ind w:left="1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8268446">
      <w:start w:val="1"/>
      <w:numFmt w:val="decimalEnclosedCircle"/>
      <w:suff w:val="space"/>
      <w:lvlText w:val="%4"/>
      <w:lvlJc w:val="left"/>
      <w:pPr>
        <w:ind w:left="631"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4" w:tplc="62C8FB5A">
      <w:start w:val="1"/>
      <w:numFmt w:val="lowerLetter"/>
      <w:lvlText w:val="%5"/>
      <w:lvlJc w:val="left"/>
      <w:pPr>
        <w:ind w:left="22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4AC9C2">
      <w:start w:val="1"/>
      <w:numFmt w:val="lowerRoman"/>
      <w:lvlText w:val="%6"/>
      <w:lvlJc w:val="left"/>
      <w:pPr>
        <w:ind w:left="29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98D486">
      <w:start w:val="1"/>
      <w:numFmt w:val="decimal"/>
      <w:lvlText w:val="%7"/>
      <w:lvlJc w:val="left"/>
      <w:pPr>
        <w:ind w:left="37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B143AAE">
      <w:start w:val="1"/>
      <w:numFmt w:val="lowerLetter"/>
      <w:lvlText w:val="%8"/>
      <w:lvlJc w:val="left"/>
      <w:pPr>
        <w:ind w:left="4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D5C9980">
      <w:start w:val="1"/>
      <w:numFmt w:val="lowerRoman"/>
      <w:lvlText w:val="%9"/>
      <w:lvlJc w:val="left"/>
      <w:pPr>
        <w:ind w:left="5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AF625E7"/>
    <w:multiLevelType w:val="hybridMultilevel"/>
    <w:tmpl w:val="73C49ED6"/>
    <w:lvl w:ilvl="0" w:tplc="E090B24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682EB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B0D4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BE8EA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270CF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06C6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5420D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78356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1ECDC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F53191E"/>
    <w:multiLevelType w:val="hybridMultilevel"/>
    <w:tmpl w:val="3C8C4AD2"/>
    <w:lvl w:ilvl="0" w:tplc="B03EAA50">
      <w:start w:val="1"/>
      <w:numFmt w:val="decimalFullWidth"/>
      <w:lvlText w:val="（%1）"/>
      <w:lvlJc w:val="left"/>
      <w:pPr>
        <w:ind w:left="631"/>
      </w:pPr>
      <w:rPr>
        <w:rFonts w:ascii="ＭＳ ゴシック" w:eastAsia="ＭＳ ゴシック" w:hAnsi="ＭＳ 明朝" w:cs="ＭＳ 明朝"/>
        <w:b/>
        <w:i w:val="0"/>
        <w:strike w:val="0"/>
        <w:dstrike w:val="0"/>
        <w:color w:val="000000"/>
        <w:sz w:val="21"/>
        <w:szCs w:val="21"/>
        <w:u w:val="none" w:color="000000"/>
        <w:bdr w:val="none" w:sz="0" w:space="0" w:color="auto"/>
        <w:shd w:val="clear" w:color="auto" w:fill="auto"/>
        <w:vertAlign w:val="baseline"/>
      </w:rPr>
    </w:lvl>
    <w:lvl w:ilvl="1" w:tplc="51A4589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10B0C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6B854B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AEA6B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5C6745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FA0E2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8E0FA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5E0CB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C337F33"/>
    <w:multiLevelType w:val="hybridMultilevel"/>
    <w:tmpl w:val="226ABE54"/>
    <w:lvl w:ilvl="0" w:tplc="5550538A">
      <w:start w:val="3"/>
      <w:numFmt w:val="decimalFullWidth"/>
      <w:lvlText w:val="%1"/>
      <w:lvlJc w:val="left"/>
      <w:pPr>
        <w:ind w:left="4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626C2F7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A836CA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753639F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7230FC4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EC74DCA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4798E88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7100820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0B9E12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17"/>
  </w:num>
  <w:num w:numId="3">
    <w:abstractNumId w:val="7"/>
  </w:num>
  <w:num w:numId="4">
    <w:abstractNumId w:val="6"/>
  </w:num>
  <w:num w:numId="5">
    <w:abstractNumId w:val="11"/>
  </w:num>
  <w:num w:numId="6">
    <w:abstractNumId w:val="15"/>
  </w:num>
  <w:num w:numId="7">
    <w:abstractNumId w:val="9"/>
  </w:num>
  <w:num w:numId="8">
    <w:abstractNumId w:val="4"/>
  </w:num>
  <w:num w:numId="9">
    <w:abstractNumId w:val="12"/>
  </w:num>
  <w:num w:numId="10">
    <w:abstractNumId w:val="14"/>
  </w:num>
  <w:num w:numId="11">
    <w:abstractNumId w:val="10"/>
  </w:num>
  <w:num w:numId="12">
    <w:abstractNumId w:val="5"/>
  </w:num>
  <w:num w:numId="13">
    <w:abstractNumId w:val="0"/>
  </w:num>
  <w:num w:numId="14">
    <w:abstractNumId w:val="1"/>
  </w:num>
  <w:num w:numId="15">
    <w:abstractNumId w:val="13"/>
  </w:num>
  <w:num w:numId="16">
    <w:abstractNumId w:val="8"/>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D9"/>
    <w:rsid w:val="00017A5D"/>
    <w:rsid w:val="00032359"/>
    <w:rsid w:val="000534D6"/>
    <w:rsid w:val="00076AC1"/>
    <w:rsid w:val="00086D26"/>
    <w:rsid w:val="000D31B8"/>
    <w:rsid w:val="001705B5"/>
    <w:rsid w:val="00170DC6"/>
    <w:rsid w:val="001928EE"/>
    <w:rsid w:val="00292AB8"/>
    <w:rsid w:val="002A6209"/>
    <w:rsid w:val="002B2BAA"/>
    <w:rsid w:val="0030794A"/>
    <w:rsid w:val="003408C4"/>
    <w:rsid w:val="00353FAF"/>
    <w:rsid w:val="003919A8"/>
    <w:rsid w:val="003B01DF"/>
    <w:rsid w:val="003C48DA"/>
    <w:rsid w:val="003C4C89"/>
    <w:rsid w:val="003E35CD"/>
    <w:rsid w:val="00406175"/>
    <w:rsid w:val="00471764"/>
    <w:rsid w:val="004C5B9B"/>
    <w:rsid w:val="004E79D9"/>
    <w:rsid w:val="005204EA"/>
    <w:rsid w:val="00561255"/>
    <w:rsid w:val="005A5DB8"/>
    <w:rsid w:val="005A7DF4"/>
    <w:rsid w:val="005B09B0"/>
    <w:rsid w:val="005C19CE"/>
    <w:rsid w:val="005E1353"/>
    <w:rsid w:val="00623B71"/>
    <w:rsid w:val="00664E28"/>
    <w:rsid w:val="006703CF"/>
    <w:rsid w:val="00671943"/>
    <w:rsid w:val="0068174E"/>
    <w:rsid w:val="006C0E36"/>
    <w:rsid w:val="006F65B0"/>
    <w:rsid w:val="00750063"/>
    <w:rsid w:val="00775C9E"/>
    <w:rsid w:val="007D0502"/>
    <w:rsid w:val="00873CAF"/>
    <w:rsid w:val="008B7032"/>
    <w:rsid w:val="008D0F8B"/>
    <w:rsid w:val="008E5180"/>
    <w:rsid w:val="008F2A96"/>
    <w:rsid w:val="00917E7A"/>
    <w:rsid w:val="00943257"/>
    <w:rsid w:val="00997AAF"/>
    <w:rsid w:val="009B18D1"/>
    <w:rsid w:val="009B427F"/>
    <w:rsid w:val="009B6638"/>
    <w:rsid w:val="009E7969"/>
    <w:rsid w:val="009F4F7F"/>
    <w:rsid w:val="009F6F0E"/>
    <w:rsid w:val="00A1437D"/>
    <w:rsid w:val="00A14B95"/>
    <w:rsid w:val="00A35861"/>
    <w:rsid w:val="00A67BAB"/>
    <w:rsid w:val="00A753EA"/>
    <w:rsid w:val="00A761F0"/>
    <w:rsid w:val="00AB4CE0"/>
    <w:rsid w:val="00AD6521"/>
    <w:rsid w:val="00AF61D6"/>
    <w:rsid w:val="00B6331D"/>
    <w:rsid w:val="00BD05EC"/>
    <w:rsid w:val="00BE40EE"/>
    <w:rsid w:val="00C02256"/>
    <w:rsid w:val="00C33E82"/>
    <w:rsid w:val="00CC3BE0"/>
    <w:rsid w:val="00CE728F"/>
    <w:rsid w:val="00D11D53"/>
    <w:rsid w:val="00D82EA1"/>
    <w:rsid w:val="00D95F3A"/>
    <w:rsid w:val="00DA4FC1"/>
    <w:rsid w:val="00DD4BB6"/>
    <w:rsid w:val="00DE530E"/>
    <w:rsid w:val="00E05118"/>
    <w:rsid w:val="00E41674"/>
    <w:rsid w:val="00EA40C7"/>
    <w:rsid w:val="00EB033E"/>
    <w:rsid w:val="00F21F92"/>
    <w:rsid w:val="00F23840"/>
    <w:rsid w:val="00F425B2"/>
    <w:rsid w:val="00F507D3"/>
    <w:rsid w:val="00FB4E85"/>
    <w:rsid w:val="00FB57C9"/>
    <w:rsid w:val="00FC0380"/>
    <w:rsid w:val="00FE50BF"/>
    <w:rsid w:val="00FE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2D733"/>
  <w15:docId w15:val="{5168D0FC-38DA-49E7-888F-18F00403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3" w:line="319" w:lineRule="auto"/>
        <w:ind w:left="1055" w:hanging="4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840"/>
    <w:pPr>
      <w:tabs>
        <w:tab w:val="center" w:pos="4252"/>
        <w:tab w:val="right" w:pos="8504"/>
      </w:tabs>
      <w:snapToGrid w:val="0"/>
    </w:pPr>
  </w:style>
  <w:style w:type="character" w:customStyle="1" w:styleId="a4">
    <w:name w:val="ヘッダー (文字)"/>
    <w:basedOn w:val="a0"/>
    <w:link w:val="a3"/>
    <w:uiPriority w:val="99"/>
    <w:rsid w:val="00F23840"/>
    <w:rPr>
      <w:rFonts w:ascii="ＭＳ 明朝" w:eastAsia="ＭＳ 明朝" w:hAnsi="ＭＳ 明朝" w:cs="ＭＳ 明朝"/>
      <w:color w:val="000000"/>
    </w:rPr>
  </w:style>
  <w:style w:type="paragraph" w:styleId="a5">
    <w:name w:val="List Paragraph"/>
    <w:basedOn w:val="a"/>
    <w:uiPriority w:val="34"/>
    <w:qFormat/>
    <w:rsid w:val="00353FAF"/>
    <w:pPr>
      <w:ind w:leftChars="400" w:left="840"/>
    </w:pPr>
  </w:style>
  <w:style w:type="character" w:styleId="a6">
    <w:name w:val="Hyperlink"/>
    <w:basedOn w:val="a0"/>
    <w:uiPriority w:val="99"/>
    <w:unhideWhenUsed/>
    <w:rsid w:val="00032359"/>
    <w:rPr>
      <w:color w:val="0563C1" w:themeColor="hyperlink"/>
      <w:u w:val="single"/>
    </w:rPr>
  </w:style>
  <w:style w:type="character" w:styleId="a7">
    <w:name w:val="FollowedHyperlink"/>
    <w:basedOn w:val="a0"/>
    <w:uiPriority w:val="99"/>
    <w:semiHidden/>
    <w:unhideWhenUsed/>
    <w:rsid w:val="00076AC1"/>
    <w:rPr>
      <w:color w:val="954F72" w:themeColor="followedHyperlink"/>
      <w:u w:val="single"/>
    </w:rPr>
  </w:style>
  <w:style w:type="paragraph" w:styleId="a8">
    <w:name w:val="Balloon Text"/>
    <w:basedOn w:val="a"/>
    <w:link w:val="a9"/>
    <w:uiPriority w:val="99"/>
    <w:semiHidden/>
    <w:unhideWhenUsed/>
    <w:rsid w:val="00DD4BB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4BB6"/>
    <w:rPr>
      <w:rFonts w:asciiTheme="majorHAnsi" w:eastAsiaTheme="majorEastAsia" w:hAnsiTheme="majorHAnsi" w:cstheme="majorBidi"/>
      <w:color w:val="000000"/>
      <w:sz w:val="18"/>
      <w:szCs w:val="18"/>
    </w:rPr>
  </w:style>
  <w:style w:type="table" w:styleId="aa">
    <w:name w:val="Table Grid"/>
    <w:basedOn w:val="a1"/>
    <w:uiPriority w:val="59"/>
    <w:rsid w:val="008B7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endai-experience.com/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scoversendai.trave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C6974-F0D1-4481-A80D-44BB2068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7</Pages>
  <Words>791</Words>
  <Characters>4514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誉之</dc:creator>
  <cp:keywords/>
  <cp:lastModifiedBy>稲舟　拓</cp:lastModifiedBy>
  <cp:revision>35</cp:revision>
  <cp:lastPrinted>2024-01-22T06:24:00Z</cp:lastPrinted>
  <dcterms:created xsi:type="dcterms:W3CDTF">2023-12-25T09:46:00Z</dcterms:created>
  <dcterms:modified xsi:type="dcterms:W3CDTF">2024-01-22T07:13:00Z</dcterms:modified>
</cp:coreProperties>
</file>