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4DA0" w14:textId="19548131" w:rsidR="000B4372" w:rsidRDefault="00EF667D" w:rsidP="009C2126">
      <w:pPr>
        <w:rPr>
          <w:sz w:val="21"/>
          <w:szCs w:val="21"/>
        </w:rPr>
      </w:pPr>
      <w:r>
        <w:rPr>
          <w:rFonts w:hint="eastAsia"/>
          <w:sz w:val="21"/>
          <w:szCs w:val="21"/>
        </w:rPr>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643603" w:rsidP="002D7F2C">
            <w:pPr>
              <w:ind w:firstLineChars="2200" w:firstLine="3960"/>
              <w:rPr>
                <w:spacing w:val="-8"/>
              </w:rPr>
            </w:pPr>
            <w:r>
              <w:rPr>
                <w:noProof/>
                <w:spacing w:val="-8"/>
              </w:rPr>
              <w:pict w14:anchorId="08411B29">
                <v:shapetype id="_x0000_t202" coordsize="21600,21600" o:spt="202" path="m,l,21600r21600,l21600,xe">
                  <v:stroke joinstyle="miter"/>
                  <v:path gradientshapeok="t" o:connecttype="rect"/>
                </v:shapetype>
                <v:shape id="_x0000_s2397" type="#_x0000_t202" style="position:absolute;left:0;text-align:left;margin-left:228pt;margin-top:-.5pt;width:27pt;height:207.75pt;z-index:251658248">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643603" w:rsidP="00DC66A1">
            <w:pPr>
              <w:rPr>
                <w:spacing w:val="-8"/>
              </w:rPr>
            </w:pPr>
            <w:r>
              <w:rPr>
                <w:rFonts w:cs="Arial"/>
                <w:noProof/>
                <w:spacing w:val="-8"/>
              </w:rPr>
              <w:pict w14:anchorId="44BBA3A0">
                <v:shape id="_x0000_s2398" type="#_x0000_t202" style="position:absolute;left:0;text-align:left;margin-left:227.85pt;margin-top:3.75pt;width:27pt;height:207.75pt;z-index:251658249">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643603"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251658250">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643603"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251658254">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77777777" w:rsidR="005C6D88" w:rsidRPr="00AF5C08" w:rsidRDefault="005C6D88" w:rsidP="005C6D88">
      <w:pPr>
        <w:rPr>
          <w:sz w:val="24"/>
        </w:rPr>
      </w:pPr>
      <w:r w:rsidRPr="00AF5C08">
        <w:rPr>
          <w:rFonts w:hint="eastAsia"/>
          <w:sz w:val="24"/>
        </w:rPr>
        <w:t>都道府県知事（保健所設置市長・特別区長）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643603" w:rsidP="0078668A">
            <w:pPr>
              <w:rPr>
                <w:spacing w:val="-8"/>
              </w:rPr>
            </w:pPr>
            <w:r>
              <w:rPr>
                <w:noProof/>
                <w:spacing w:val="-8"/>
              </w:rPr>
              <w:pict w14:anchorId="0AFF0E65">
                <v:shape id="_x0000_s2598" type="#_x0000_t202" style="position:absolute;left:0;text-align:left;margin-left:235.05pt;margin-top:122.3pt;width:27pt;height:207.75pt;z-index:251658328;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643603"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251658251">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0" w:name="OLE_LINK5"/>
      <w:r w:rsidR="00EF667D">
        <w:rPr>
          <w:rFonts w:hint="eastAsia"/>
          <w:sz w:val="21"/>
          <w:szCs w:val="21"/>
        </w:rPr>
        <w:lastRenderedPageBreak/>
        <w:t>別記様式４－</w:t>
      </w:r>
      <w:r w:rsidR="005C6D88" w:rsidRPr="00C52B61">
        <w:rPr>
          <w:rFonts w:hint="eastAsia"/>
          <w:sz w:val="21"/>
          <w:szCs w:val="21"/>
        </w:rPr>
        <w:t>７</w:t>
      </w:r>
    </w:p>
    <w:bookmarkEnd w:id="0"/>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643603"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251658252">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643603"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251658275">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77777777" w:rsidR="004F4ED4" w:rsidRPr="00C22D81" w:rsidRDefault="004F4ED4" w:rsidP="004F4ED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643603"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251658276">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643603"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251658277">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643603" w:rsidP="00DC66A1">
            <w:pPr>
              <w:rPr>
                <w:rFonts w:cs="Arial"/>
                <w:spacing w:val="-8"/>
              </w:rPr>
            </w:pPr>
            <w:r>
              <w:rPr>
                <w:noProof/>
                <w:spacing w:val="-8"/>
              </w:rPr>
              <w:pict w14:anchorId="7430E068">
                <v:shape id="_x0000_s2404" type="#_x0000_t202" style="position:absolute;left:0;text-align:left;margin-left:228pt;margin-top:-.5pt;width:27pt;height:207.75pt;z-index:251658253">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643603" w:rsidP="00A814E8">
            <w:pPr>
              <w:rPr>
                <w:spacing w:val="-8"/>
              </w:rPr>
            </w:pPr>
            <w:r>
              <w:rPr>
                <w:noProof/>
                <w:spacing w:val="-8"/>
              </w:rPr>
              <w:pict w14:anchorId="121DF9E2">
                <v:shape id="_x0000_s2406" type="#_x0000_t202" style="position:absolute;left:0;text-align:left;margin-left:227.85pt;margin-top:.1pt;width:27pt;height:207.75pt;z-index:251658255">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643603"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251658256">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643603"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251658313;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53"/>
              <w:jc w:val="left"/>
              <w:rPr>
                <w:color w:val="000000"/>
              </w:rPr>
            </w:pPr>
            <w:r w:rsidRPr="00643603">
              <w:rPr>
                <w:rFonts w:hint="eastAsia"/>
                <w:color w:val="000000"/>
                <w:spacing w:val="2"/>
                <w:w w:val="83"/>
                <w:kern w:val="0"/>
                <w:fitText w:val="4002" w:id="2085815296"/>
              </w:rPr>
              <w:t>（動物・蚊・昆虫等の種類・状況：</w:t>
            </w:r>
            <w:r w:rsidRPr="00643603">
              <w:rPr>
                <w:color w:val="000000"/>
                <w:spacing w:val="2"/>
                <w:w w:val="83"/>
                <w:kern w:val="0"/>
                <w:fitText w:val="4002" w:id="2085815296"/>
              </w:rPr>
              <w:t xml:space="preserve">                 　</w:t>
            </w:r>
            <w:r w:rsidRPr="00643603">
              <w:rPr>
                <w:rFonts w:hint="eastAsia"/>
                <w:color w:val="000000"/>
                <w:spacing w:val="-28"/>
                <w:w w:val="83"/>
                <w:kern w:val="0"/>
                <w:fitText w:val="4002" w:id="2085815296"/>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643603">
              <w:rPr>
                <w:rFonts w:hint="eastAsia"/>
                <w:color w:val="000000"/>
                <w:w w:val="88"/>
                <w:kern w:val="0"/>
                <w:fitText w:val="3485" w:id="2085815297"/>
              </w:rPr>
              <w:t>羊水検査結果：ａ）陽性</w:t>
            </w:r>
            <w:r w:rsidRPr="00643603">
              <w:rPr>
                <w:color w:val="000000"/>
                <w:w w:val="88"/>
                <w:kern w:val="0"/>
                <w:fitText w:val="3485" w:id="2085815297"/>
              </w:rPr>
              <w:t xml:space="preserve"> </w:t>
            </w:r>
            <w:r w:rsidRPr="00643603">
              <w:rPr>
                <w:rFonts w:hint="eastAsia"/>
                <w:color w:val="000000"/>
                <w:w w:val="88"/>
                <w:kern w:val="0"/>
                <w:fitText w:val="3485" w:id="2085815297"/>
              </w:rPr>
              <w:t>ｂ）陰性</w:t>
            </w:r>
            <w:r w:rsidRPr="00643603">
              <w:rPr>
                <w:color w:val="000000"/>
                <w:w w:val="88"/>
                <w:kern w:val="0"/>
                <w:fitText w:val="3485" w:id="2085815297"/>
              </w:rPr>
              <w:t xml:space="preserve"> </w:t>
            </w:r>
            <w:r w:rsidRPr="00643603">
              <w:rPr>
                <w:rFonts w:hint="eastAsia"/>
                <w:color w:val="000000"/>
                <w:w w:val="88"/>
                <w:kern w:val="0"/>
                <w:fitText w:val="3485" w:id="2085815297"/>
              </w:rPr>
              <w:t>ｃ）判定保</w:t>
            </w:r>
            <w:r w:rsidRPr="00643603">
              <w:rPr>
                <w:rFonts w:hint="eastAsia"/>
                <w:color w:val="000000"/>
                <w:spacing w:val="4"/>
                <w:w w:val="88"/>
                <w:kern w:val="0"/>
                <w:fitText w:val="3485" w:id="2085815297"/>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643603">
              <w:rPr>
                <w:color w:val="000000"/>
                <w:w w:val="70"/>
                <w:kern w:val="0"/>
                <w:fitText w:val="3692" w:id="2085815298"/>
              </w:rPr>
              <w:t>検体：血液・</w:t>
            </w:r>
            <w:r w:rsidRPr="00643603">
              <w:rPr>
                <w:rFonts w:hint="eastAsia"/>
                <w:color w:val="000000"/>
                <w:w w:val="70"/>
                <w:kern w:val="0"/>
                <w:fitText w:val="3692" w:id="2085815298"/>
              </w:rPr>
              <w:t xml:space="preserve">尿・臍帯・臍帯血・胎盤・髄液・その他（　　　</w:t>
            </w:r>
            <w:r w:rsidRPr="00643603">
              <w:rPr>
                <w:rFonts w:hint="eastAsia"/>
                <w:color w:val="000000"/>
                <w:spacing w:val="19"/>
                <w:w w:val="70"/>
                <w:kern w:val="0"/>
                <w:fitText w:val="3692" w:id="2085815298"/>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71"/>
              <w:rPr>
                <w:color w:val="000000"/>
              </w:rPr>
            </w:pPr>
            <w:r w:rsidRPr="00643603">
              <w:rPr>
                <w:color w:val="000000"/>
                <w:spacing w:val="3"/>
                <w:w w:val="92"/>
                <w:kern w:val="0"/>
                <w:fitText w:val="4680" w:id="2085815300"/>
              </w:rPr>
              <w:t>検体：血液・</w:t>
            </w:r>
            <w:r w:rsidRPr="00643603">
              <w:rPr>
                <w:rFonts w:hint="eastAsia"/>
                <w:color w:val="000000"/>
                <w:spacing w:val="3"/>
                <w:w w:val="92"/>
                <w:kern w:val="0"/>
                <w:fitText w:val="4680" w:id="2085815300"/>
              </w:rPr>
              <w:t xml:space="preserve">尿・髄液・臍帯・臍帯血・胎盤・その他（　　</w:t>
            </w:r>
            <w:r w:rsidRPr="00643603">
              <w:rPr>
                <w:rFonts w:hint="eastAsia"/>
                <w:color w:val="000000"/>
                <w:spacing w:val="-37"/>
                <w:w w:val="92"/>
                <w:kern w:val="0"/>
                <w:fitText w:val="4680" w:id="208581530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643603">
              <w:rPr>
                <w:rFonts w:hint="eastAsia"/>
                <w:color w:val="000000"/>
                <w:spacing w:val="2"/>
                <w:w w:val="86"/>
                <w:kern w:val="0"/>
                <w:fitText w:val="4056" w:id="2085815301"/>
              </w:rPr>
              <w:t>他のフラビウイルス属ウイルスの</w:t>
            </w:r>
            <w:r w:rsidRPr="00643603">
              <w:rPr>
                <w:color w:val="000000"/>
                <w:spacing w:val="2"/>
                <w:w w:val="86"/>
                <w:kern w:val="0"/>
                <w:fitText w:val="4056" w:id="2085815301"/>
              </w:rPr>
              <w:t>IgM抗体の確認の有無</w:t>
            </w:r>
            <w:r w:rsidRPr="00643603">
              <w:rPr>
                <w:rFonts w:hint="eastAsia"/>
                <w:color w:val="000000"/>
                <w:spacing w:val="-23"/>
                <w:w w:val="86"/>
                <w:kern w:val="0"/>
                <w:fitText w:val="4056" w:id="2085815301"/>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7777777" w:rsidR="00760CDE" w:rsidRPr="00C22D81" w:rsidRDefault="00760CDE" w:rsidP="00760CD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643603"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251658297">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643603" w:rsidP="0089362C">
            <w:pPr>
              <w:rPr>
                <w:spacing w:val="-8"/>
              </w:rPr>
            </w:pPr>
            <w:r>
              <w:rPr>
                <w:noProof/>
                <w:spacing w:val="-8"/>
              </w:rPr>
              <w:pict w14:anchorId="323A94D3">
                <v:shape id="_x0000_s2410" type="#_x0000_t202" style="position:absolute;left:0;text-align:left;margin-left:228pt;margin-top:-.5pt;width:27pt;height:207.75pt;z-index:251658257">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643603"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251658278">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643603"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251658279">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643603"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251658258">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643603"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251658314;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643603"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51658259">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643603" w:rsidP="00094A1B">
      <w:pPr>
        <w:rPr>
          <w:color w:val="000000"/>
        </w:rPr>
      </w:pPr>
      <w:r>
        <w:rPr>
          <w:noProof/>
          <w:color w:val="000000"/>
          <w:spacing w:val="-8"/>
        </w:rPr>
        <w:pict w14:anchorId="075543FF">
          <v:shape id="_x0000_s2575" type="#_x0000_t202" style="position:absolute;left:0;text-align:left;margin-left:490.3pt;margin-top:187.2pt;width:27pt;height:207.75pt;z-index:251658316;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643603"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251658280">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77777777" w:rsidR="00B72D98" w:rsidRPr="00C22D81" w:rsidRDefault="00B72D98" w:rsidP="00B72D98">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643603"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251658296">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643603" w:rsidP="00EB6CAF">
            <w:pPr>
              <w:rPr>
                <w:spacing w:val="-8"/>
              </w:rPr>
            </w:pPr>
            <w:r>
              <w:rPr>
                <w:noProof/>
                <w:spacing w:val="-8"/>
              </w:rPr>
              <w:pict w14:anchorId="33D52F4B">
                <v:shape id="_x0000_s2389" type="#_x0000_t202" style="position:absolute;left:0;text-align:left;margin-left:227.35pt;margin-top:3.9pt;width:27pt;height:207.75pt;z-index:251658243">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643603" w:rsidP="00EB6CAF">
            <w:pPr>
              <w:rPr>
                <w:spacing w:val="-8"/>
              </w:rPr>
            </w:pPr>
            <w:r>
              <w:rPr>
                <w:noProof/>
                <w:spacing w:val="-8"/>
              </w:rPr>
              <w:pict w14:anchorId="14842106">
                <v:shape id="_x0000_s2390" type="#_x0000_t202" style="position:absolute;left:0;text-align:left;margin-left:228.1pt;margin-top:1.4pt;width:27pt;height:207.75pt;z-index:251658244">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77777777" w:rsidR="0091141E" w:rsidRPr="00C22D81" w:rsidRDefault="0091141E" w:rsidP="0091141E">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643603">
              <w:rPr>
                <w:noProof/>
                <w:spacing w:val="-8"/>
              </w:rPr>
              <w:pict w14:anchorId="2BF38F50">
                <v:shape id="_x0000_s2487" type="#_x0000_t202" style="position:absolute;left:0;text-align:left;margin-left:228.7pt;margin-top:3.45pt;width:27pt;height:207.75pt;z-index:251658281;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643603" w:rsidP="00EB6CAF">
            <w:pPr>
              <w:rPr>
                <w:spacing w:val="-8"/>
              </w:rPr>
            </w:pPr>
            <w:r>
              <w:rPr>
                <w:noProof/>
                <w:spacing w:val="-8"/>
              </w:rPr>
              <w:pict w14:anchorId="39CDC961">
                <v:shape id="_x0000_s2392" type="#_x0000_t202" style="position:absolute;left:0;text-align:left;margin-left:228.1pt;margin-top:3.45pt;width:27pt;height:207.75pt;z-index:251658245">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643603" w:rsidP="00EB6CAF">
            <w:pPr>
              <w:rPr>
                <w:spacing w:val="-8"/>
              </w:rPr>
            </w:pPr>
            <w:r>
              <w:rPr>
                <w:noProof/>
                <w:spacing w:val="-8"/>
              </w:rPr>
              <w:pict w14:anchorId="26B3557F">
                <v:shape id="_x0000_s2393" type="#_x0000_t202" style="position:absolute;left:0;text-align:left;margin-left:234.1pt;margin-top:3.9pt;width:27pt;height:207.75pt;z-index:251658246">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643603"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251658282">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643603" w:rsidP="003464B3">
            <w:pPr>
              <w:rPr>
                <w:spacing w:val="-8"/>
              </w:rPr>
            </w:pPr>
            <w:r>
              <w:rPr>
                <w:noProof/>
                <w:spacing w:val="-8"/>
              </w:rPr>
              <w:pict w14:anchorId="633D73B1">
                <v:shape id="_x0000_s2489" type="#_x0000_t202" style="position:absolute;left:0;text-align:left;margin-left:228pt;margin-top:-.5pt;width:27pt;height:207.75pt;z-index:251658283">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77777777" w:rsidR="003464B3" w:rsidRPr="00BE683E" w:rsidRDefault="003464B3" w:rsidP="003464B3">
      <w:pPr>
        <w:spacing w:line="0" w:lineRule="atLeast"/>
        <w:rPr>
          <w:sz w:val="24"/>
        </w:rPr>
      </w:pPr>
      <w:r w:rsidRPr="00BE683E">
        <w:rPr>
          <w:rFonts w:hint="eastAsia"/>
          <w:sz w:val="24"/>
        </w:rPr>
        <w:t>都道府県知事（</w:t>
      </w:r>
      <w:r w:rsidR="000B5E57">
        <w:rPr>
          <w:rFonts w:hint="eastAsia"/>
          <w:sz w:val="24"/>
        </w:rPr>
        <w:t>保健所設置市長・特別区長</w:t>
      </w:r>
      <w:r w:rsidRPr="00BE683E">
        <w:rPr>
          <w:rFonts w:hint="eastAsia"/>
          <w:sz w:val="24"/>
        </w:rPr>
        <w:t>）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643603"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251658284">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643603" w:rsidP="003464B3">
            <w:pPr>
              <w:rPr>
                <w:spacing w:val="-8"/>
              </w:rPr>
            </w:pPr>
            <w:r>
              <w:rPr>
                <w:noProof/>
                <w:spacing w:val="-8"/>
              </w:rPr>
              <w:pict w14:anchorId="685BAF83">
                <v:shape id="_x0000_s2491" type="#_x0000_t202" style="position:absolute;left:0;text-align:left;margin-left:227.35pt;margin-top:3.9pt;width:27pt;height:207.75pt;z-index:251658285">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1"/>
          <w:footerReference w:type="default" r:id="rId12"/>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643603"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251658286">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643603"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251658247">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643603"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251658319;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777777" w:rsidR="003464B3" w:rsidRPr="00C22D81" w:rsidRDefault="003464B3" w:rsidP="003464B3">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643603"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251658287">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643603">
            <w:pPr>
              <w:rPr>
                <w:rFonts w:cs="Arial"/>
                <w:spacing w:val="-8"/>
              </w:rPr>
            </w:pPr>
            <w:r>
              <w:rPr>
                <w:rFonts w:cs="Arial"/>
                <w:noProof/>
                <w:spacing w:val="-8"/>
              </w:rPr>
              <w:pict w14:anchorId="5871F08A">
                <v:shape id="_x0000_s2357" type="#_x0000_t202" style="position:absolute;left:0;text-align:left;margin-left:228pt;margin-top:-.5pt;width:27pt;height:207.75pt;z-index:251658240">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643603">
            <w:pPr>
              <w:rPr>
                <w:rFonts w:cs="Arial"/>
                <w:spacing w:val="-8"/>
              </w:rPr>
            </w:pPr>
            <w:r>
              <w:rPr>
                <w:rFonts w:cs="Arial"/>
                <w:noProof/>
                <w:spacing w:val="-8"/>
                <w:sz w:val="24"/>
              </w:rPr>
              <w:pict w14:anchorId="2625BD85">
                <v:shape id="_x0000_s2445" type="#_x0000_t202" style="position:absolute;left:0;text-align:left;margin-left:228.1pt;margin-top:.15pt;width:27pt;height:207.75pt;z-index:251658263">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643603"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251658288">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643603"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251658289">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643603"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51658241">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643603">
            <w:pPr>
              <w:rPr>
                <w:rFonts w:cs="Arial"/>
                <w:spacing w:val="-8"/>
              </w:rPr>
            </w:pPr>
            <w:r>
              <w:rPr>
                <w:rFonts w:cs="Arial"/>
                <w:noProof/>
                <w:spacing w:val="-8"/>
              </w:rPr>
              <w:pict w14:anchorId="3042F14A">
                <v:shape id="_x0000_s2360" type="#_x0000_t202" style="position:absolute;left:0;text-align:left;margin-left:227.85pt;margin-top:.1pt;width:27pt;height:207.75pt;z-index:251658242">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643603"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251658290">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sectPr w:rsidR="00851244" w:rsidSect="00643603">
      <w:type w:val="continuous"/>
      <w:pgSz w:w="11906" w:h="16838" w:code="9"/>
      <w:pgMar w:top="340" w:right="1134" w:bottom="340" w:left="1134" w:header="227" w:footer="57"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53A"/>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3603"/>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41587</Words>
  <Characters>28441</Characters>
  <Application>Microsoft Office Word</Application>
  <DocSecurity>0</DocSecurity>
  <Lines>237</Lines>
  <Paragraphs>139</Paragraphs>
  <ScaleCrop>false</ScaleCrop>
  <LinksUpToDate>false</LinksUpToDate>
  <CharactersWithSpaces>69889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2026-05-07T01:36:00Z</dcterms:created>
  <dcterms:modified xsi:type="dcterms:W3CDTF">2026-05-07T01:38:00Z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